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0" w:leftChars="0" w:firstLine="0" w:firstLineChars="0"/>
      </w:pPr>
      <w:bookmarkStart w:id="0" w:name="_Toc24142842"/>
      <w:bookmarkStart w:id="1" w:name="_Toc24134192"/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822325</wp:posOffset>
                </wp:positionH>
                <wp:positionV relativeFrom="paragraph">
                  <wp:posOffset>5984875</wp:posOffset>
                </wp:positionV>
                <wp:extent cx="4880610" cy="654685"/>
                <wp:effectExtent l="0" t="0" r="0" b="0"/>
                <wp:wrapSquare wrapText="bothSides"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610" cy="65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</w:rPr>
                              <w:t>—— 安全学习</w:t>
                            </w:r>
                            <w:r>
                              <w:rPr>
                                <w:b/>
                                <w:sz w:val="52"/>
                              </w:rPr>
                              <w:t>与考试（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</w:rPr>
                              <w:t>管理员</w:t>
                            </w:r>
                            <w:r>
                              <w:rPr>
                                <w:b/>
                                <w:sz w:val="5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4.75pt;margin-top:471.25pt;height:51.55pt;width:384.3pt;mso-position-horizontal-relative:margin;mso-wrap-distance-bottom:3.6pt;mso-wrap-distance-left:9pt;mso-wrap-distance-right:9pt;mso-wrap-distance-top:3.6pt;z-index:251660288;mso-width-relative:page;mso-height-relative:page;" filled="f" stroked="f" coordsize="21600,21600" o:gfxdata="UEsDBAoAAAAAAIdO4kAAAAAAAAAAAAAAAAAEAAAAZHJzL1BLAwQUAAAACACHTuJAzlz4XNcAAAAM&#10;AQAADwAAAGRycy9kb3ducmV2LnhtbE2PQU+EMBCF7yb+h2ZMvLktBDaAlD1ovGpcVxNvXToLRDol&#10;tLvgv3c86W1e3pc379W71Y3ignMYPGlINgoEUuvtQJ2Gw9vTXQEiREPWjJ5QwzcG2DXXV7WprF/o&#10;FS/72AkOoVAZDX2MUyVlaHt0Jmz8hMTeyc/ORJZzJ+1sFg53o0yV2kpnBuIPvZnwocf2a392Gt6f&#10;T58fmXrpHl0+LX5Vklwptb69SdQ9iIhr/IPhtz5Xh4Y7Hf2ZbBAj67TMGdVQZikfTBRlkYA4sqWy&#10;fAuyqeX/Ec0PUEsDBBQAAAAIAIdO4kDbVteIEQIAAAoEAAAOAAAAZHJzL2Uyb0RvYy54bWytU0uO&#10;EzEQ3SNxB8t70kmUhEwrndEw0SCk4SMNHMBxu9MWbZcpO+kOB4AbsGLDnnPlHFN2Z0IYNrNgY9mu&#10;8qv3XpUXl51p2E6h12ALPhoMOVNWQqntpuCfPt68mHPmg7ClaMCqgu+V55fL588WrcvVGGpoSoWM&#10;QKzPW1fwOgSXZ5mXtTLCD8ApS8EK0IhAR9xkJYqW0E2TjYfDWdYClg5BKu/pdtUH+RERnwIIVaWl&#10;WoHcGmVDj4qqEYEk+Vo7z5eJbVUpGd5XlVeBNQUnpSGtVIT267hmy4XINyhcreWRgngKhUeajNCW&#10;ip6gViIItkX9D5TREsFDFQYSTNYLSY6QitHwkTd3tXAqaSGrvTuZ7v8frHy3+4BMlwUfTzmzwlDH&#10;Dz++H37+Pvz6xsbRn9b5nNLuHCWG7hV0NDVJq3e3ID97ZuG6FnajrhChrZUoid8ovszOnvY4PoKs&#10;27dQUh2xDZCAugpNNI/sYIROvdmfeqO6wCRdTubz4WxEIUmx2XQym09TCZE/vHbow2sFhsVNwZF6&#10;n9DF7taHyEbkDymxmIUb3TSp/43964IS401iHwn31EO37o5urKHckw6EfpzoM9GmBvzKWUujVHD/&#10;ZStQcda8seTFxWgyibOXDpPpyzEd8DyyPo8IKwmq4IGzfnsd0rz2FK/Is0onOdHcnsmRK41IUnkc&#10;5ziD5+eU9ecLL+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lz4XNcAAAAMAQAADwAAAAAAAAAB&#10;ACAAAAAiAAAAZHJzL2Rvd25yZXYueG1sUEsBAhQAFAAAAAgAh07iQNtW14gRAgAACgQAAA4AAAAA&#10;AAAAAQAgAAAAJgEAAGRycy9lMm9Eb2MueG1sUEsFBgAAAAAGAAYAWQEAAK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b/>
                          <w:sz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</w:rPr>
                        <w:t>—— 安全学习</w:t>
                      </w:r>
                      <w:r>
                        <w:rPr>
                          <w:b/>
                          <w:sz w:val="52"/>
                        </w:rPr>
                        <w:t>与考试（</w:t>
                      </w:r>
                      <w:r>
                        <w:rPr>
                          <w:rFonts w:hint="eastAsia"/>
                          <w:b/>
                          <w:sz w:val="52"/>
                        </w:rPr>
                        <w:t>管理员</w:t>
                      </w:r>
                      <w:r>
                        <w:rPr>
                          <w:b/>
                          <w:sz w:val="52"/>
                        </w:rPr>
                        <w:t>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-194310</wp:posOffset>
                </wp:positionH>
                <wp:positionV relativeFrom="paragraph">
                  <wp:posOffset>5547995</wp:posOffset>
                </wp:positionV>
                <wp:extent cx="4672965" cy="6553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96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</w:rPr>
                              <w:t>实验室安全</w:t>
                            </w:r>
                            <w:r>
                              <w:rPr>
                                <w:b/>
                                <w:sz w:val="52"/>
                              </w:rPr>
                              <w:t>管理系统操作手册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5.3pt;margin-top:436.85pt;height:51.6pt;width:367.95pt;mso-position-horizontal-relative:margin;mso-wrap-distance-bottom:3.6pt;mso-wrap-distance-left:9pt;mso-wrap-distance-right:9pt;mso-wrap-distance-top:3.6pt;z-index:251659264;mso-width-relative:page;mso-height-relative:page;" filled="f" stroked="f" coordsize="21600,21600" o:gfxdata="UEsDBAoAAAAAAIdO4kAAAAAAAAAAAAAAAAAEAAAAZHJzL1BLAwQUAAAACACHTuJA6qDJ/tkAAAAL&#10;AQAADwAAAGRycy9kb3ducmV2LnhtbE2PwU7DMBBE70j8g7VI3Fq7hCZNyKYHEFcQBSr15sbbJCJe&#10;R7HbhL/HnOC4mqeZt+V2tr240Og7xwirpQJBXDvTcYPw8f682IDwQbPRvWNC+CYP2+r6qtSFcRO/&#10;0WUXGhFL2BcaoQ1hKKT0dUtW+6UbiGN2cqPVIZ5jI82op1hue3mnVCqt7jgutHqgx5bqr93ZIny+&#10;nA77e/XaPNn1MLlZSba5RLy9WakHEIHm8AfDr35Uhyo6Hd2ZjRc9wiJRaUQRNlmSgYhEptYJiCNC&#10;nqU5yKqU/3+ofgBQSwMEFAAAAAgAh07iQHAU8jQSAgAACwQAAA4AAABkcnMvZTJvRG9jLnhtbK1T&#10;y47TMBTdI/EPlvc0beiDiZqOhqkGIQ0PaeADbh2nsUh8je02KR8Af8CKDXu+q9/BtZMpZdjMgk1k&#10;+14fn3PuyfKya2q2l9Yp1DmfjMacSS2wUHqb848fbp694Mx50AXUqGXOD9Lxy9XTJ8vWZDLFCutC&#10;WkYg2mWtyXnlvcmSxIlKNuBGaKSmYom2AU9bu00KCy2hN3WSjsfzpEVbGItCOken677IB0T7GEAs&#10;SyXkGsWukdr3qFbW4EmSq5RxfBXZlqUU/l1ZOulZnXNS6uOXHqH1JnyT1RKyrQVTKTFQgMdQeKCp&#10;AaXp0RPUGjywnVX/QDVKWHRY+pHAJumFREdIxWT8wJu7CoyMWshqZ06mu/8HK97u31umipynkwVn&#10;Ghoa+fH7t+OPX8efX1kaDGqNy6jvzlCn715iR7GJYp25RfHJMY3XFeitvLIW20pCQQQn4WZydrXH&#10;cQFk077Bgt6BnccI1JW2Ce6RH4zQaTiH03Bk55mgw+l8kV7MZ5wJqs1ns+dpnF4C2f1tY51/JbFh&#10;YZFzS8OP6LC/dT6wgey+JTym8UbVdQxArf86oMZwEtkHwj113226wY0NFgfSYbHPE/1NtKjQfuGs&#10;pSzl3H3egZWc1a81eXExmU5D+OJmOlsQc2bPK5vzCmhBUDn3nPXLax8D21O8Is9KFeUEc3smA1fK&#10;SFQ55DmE8Hwfu/78w6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6qDJ/tkAAAALAQAADwAAAAAA&#10;AAABACAAAAAiAAAAZHJzL2Rvd25yZXYueG1sUEsBAhQAFAAAAAgAh07iQHAU8jQSAgAACwQAAA4A&#10;AAAAAAAAAQAgAAAAKAEAAGRycy9lMm9Eb2MueG1sUEsFBgAAAAAGAAYAWQEAAK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b/>
                          <w:sz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</w:rPr>
                        <w:t>实验室安全</w:t>
                      </w:r>
                      <w:r>
                        <w:rPr>
                          <w:b/>
                          <w:sz w:val="52"/>
                        </w:rPr>
                        <w:t>管理系统操作手册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sdt>
      <w:sdtPr>
        <w:rPr>
          <w:rFonts w:ascii="Calibri" w:hAnsi="Calibri" w:eastAsia="宋体" w:cs="Times New Roman"/>
          <w:color w:val="auto"/>
          <w:kern w:val="2"/>
          <w:sz w:val="24"/>
          <w:szCs w:val="24"/>
          <w:lang w:val="zh-CN"/>
        </w:rPr>
        <w:id w:val="89667799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4"/>
            <w:ind w:firstLine="480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_Toc10380 </w:instrText>
          </w:r>
          <w:r>
            <w:fldChar w:fldCharType="separate"/>
          </w:r>
          <w:r>
            <w:rPr>
              <w:rFonts w:hint="eastAsia"/>
            </w:rPr>
            <w:t>1 系统登陆及角色选择</w:t>
          </w:r>
          <w:r>
            <w:tab/>
          </w:r>
          <w:r>
            <w:fldChar w:fldCharType="begin"/>
          </w:r>
          <w:r>
            <w:instrText xml:space="preserve"> PAGEREF _Toc10380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_Toc30433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 信息公告</w:t>
          </w:r>
          <w:r>
            <w:tab/>
          </w:r>
          <w:r>
            <w:fldChar w:fldCharType="begin"/>
          </w:r>
          <w:r>
            <w:instrText xml:space="preserve"> PAGEREF _Toc30433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_Toc6131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2.1 通知公告</w:t>
          </w:r>
          <w:r>
            <w:tab/>
          </w:r>
          <w:r>
            <w:fldChar w:fldCharType="begin"/>
          </w:r>
          <w:r>
            <w:instrText xml:space="preserve"> PAGEREF _Toc6131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_Toc15934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2.2 规章制度</w:t>
          </w:r>
          <w:r>
            <w:tab/>
          </w:r>
          <w:r>
            <w:fldChar w:fldCharType="begin"/>
          </w:r>
          <w:r>
            <w:instrText xml:space="preserve"> PAGEREF _Toc15934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_Toc26059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微课堂</w:t>
          </w:r>
          <w:r>
            <w:tab/>
          </w:r>
          <w:r>
            <w:fldChar w:fldCharType="begin"/>
          </w:r>
          <w:r>
            <w:instrText xml:space="preserve"> PAGEREF _Toc26059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_Toc15117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3.1 </w:t>
          </w:r>
          <w:r>
            <w:rPr>
              <w:rFonts w:hint="eastAsia"/>
              <w:lang w:val="en-US" w:eastAsia="zh-CN"/>
            </w:rPr>
            <w:t>课程管理</w:t>
          </w:r>
          <w:r>
            <w:tab/>
          </w:r>
          <w:r>
            <w:fldChar w:fldCharType="begin"/>
          </w:r>
          <w:r>
            <w:instrText xml:space="preserve"> PAGEREF _Toc15117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_Toc17915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3.2 </w:t>
          </w:r>
          <w:r>
            <w:rPr>
              <w:rFonts w:hint="eastAsia"/>
              <w:lang w:val="en-US" w:eastAsia="zh-CN"/>
            </w:rPr>
            <w:t>章节管理</w:t>
          </w:r>
          <w:r>
            <w:tab/>
          </w:r>
          <w:r>
            <w:fldChar w:fldCharType="begin"/>
          </w:r>
          <w:r>
            <w:instrText xml:space="preserve"> PAGEREF _Toc17915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_Toc31169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 安全知识库</w:t>
          </w:r>
          <w:r>
            <w:tab/>
          </w:r>
          <w:r>
            <w:fldChar w:fldCharType="begin"/>
          </w:r>
          <w:r>
            <w:instrText xml:space="preserve"> PAGEREF _Toc31169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_Toc17073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4.1 安全知识</w:t>
          </w:r>
          <w:r>
            <w:tab/>
          </w:r>
          <w:r>
            <w:fldChar w:fldCharType="begin"/>
          </w:r>
          <w:r>
            <w:instrText xml:space="preserve"> PAGEREF _Toc17073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_Toc21838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4.2 安全手册</w:t>
          </w:r>
          <w:r>
            <w:tab/>
          </w:r>
          <w:r>
            <w:fldChar w:fldCharType="begin"/>
          </w:r>
          <w:r>
            <w:instrText xml:space="preserve"> PAGEREF _Toc21838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_Toc18076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4.3 安全标识</w:t>
          </w:r>
          <w:r>
            <w:tab/>
          </w:r>
          <w:r>
            <w:fldChar w:fldCharType="begin"/>
          </w:r>
          <w:r>
            <w:instrText xml:space="preserve"> PAGEREF _Toc18076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_Toc25326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4.4 安全视频</w:t>
          </w:r>
          <w:r>
            <w:tab/>
          </w:r>
          <w:r>
            <w:fldChar w:fldCharType="begin"/>
          </w:r>
          <w:r>
            <w:instrText xml:space="preserve"> PAGEREF _Toc25326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_Toc14904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4.5 M</w:t>
          </w:r>
          <w:r>
            <w:t>SDS</w:t>
          </w:r>
          <w:r>
            <w:tab/>
          </w:r>
          <w:r>
            <w:fldChar w:fldCharType="begin"/>
          </w:r>
          <w:r>
            <w:instrText xml:space="preserve"> PAGEREF _Toc14904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_Toc30920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4.6 事故案例</w:t>
          </w:r>
          <w:r>
            <w:tab/>
          </w:r>
          <w:r>
            <w:fldChar w:fldCharType="begin"/>
          </w:r>
          <w:r>
            <w:instrText xml:space="preserve"> PAGEREF _Toc30920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_Toc21566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5 题库管理</w:t>
          </w:r>
          <w:r>
            <w:tab/>
          </w:r>
          <w:r>
            <w:fldChar w:fldCharType="begin"/>
          </w:r>
          <w:r>
            <w:instrText xml:space="preserve"> PAGEREF _Toc21566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_Toc3870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5.1 题库管理</w:t>
          </w:r>
          <w:r>
            <w:tab/>
          </w:r>
          <w:r>
            <w:fldChar w:fldCharType="begin"/>
          </w:r>
          <w:r>
            <w:instrText xml:space="preserve"> PAGEREF _Toc3870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_Toc32425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5.2 试题管理</w:t>
          </w:r>
          <w:r>
            <w:tab/>
          </w:r>
          <w:r>
            <w:fldChar w:fldCharType="begin"/>
          </w:r>
          <w:r>
            <w:instrText xml:space="preserve"> PAGEREF _Toc32425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_Toc30645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 考试管理</w:t>
          </w:r>
          <w:r>
            <w:tab/>
          </w:r>
          <w:r>
            <w:fldChar w:fldCharType="begin"/>
          </w:r>
          <w:r>
            <w:instrText xml:space="preserve"> PAGEREF _Toc30645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_Toc31999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6.1 常规考试</w:t>
          </w:r>
          <w:r>
            <w:tab/>
          </w:r>
          <w:r>
            <w:fldChar w:fldCharType="begin"/>
          </w:r>
          <w:r>
            <w:instrText xml:space="preserve"> PAGEREF _Toc31999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_Toc1412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6.1.1 考试设置</w:t>
          </w:r>
          <w:r>
            <w:tab/>
          </w:r>
          <w:r>
            <w:fldChar w:fldCharType="begin"/>
          </w:r>
          <w:r>
            <w:instrText xml:space="preserve"> PAGEREF _Toc1412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_Toc9658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6.1.2 组卷</w:t>
          </w:r>
          <w:r>
            <w:tab/>
          </w:r>
          <w:r>
            <w:fldChar w:fldCharType="begin"/>
          </w:r>
          <w:r>
            <w:instrText xml:space="preserve"> PAGEREF _Toc9658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6.1.3 学习内容</w:t>
          </w:r>
          <w:r>
            <w:tab/>
          </w:r>
          <w:r>
            <w:fldChar w:fldCharType="begin"/>
          </w:r>
          <w:r>
            <w:instrText xml:space="preserve"> PAGEREF _Toc20219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_Toc20475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6.1.4 考生管理</w:t>
          </w:r>
          <w:r>
            <w:tab/>
          </w:r>
          <w:r>
            <w:fldChar w:fldCharType="begin"/>
          </w:r>
          <w:r>
            <w:instrText xml:space="preserve"> PAGEREF _Toc20475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_Toc18271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theme="minorBidi"/>
              <w:iCs/>
              <w:smallCaps/>
              <w:spacing w:val="5"/>
              <w:kern w:val="2"/>
              <w:szCs w:val="24"/>
              <w:lang w:val="en-US" w:eastAsia="zh-CN" w:bidi="ar-SA"/>
            </w:rPr>
            <w:t xml:space="preserve">6.1.5 </w:t>
          </w:r>
          <w:r>
            <w:rPr>
              <w:rFonts w:hint="eastAsia" w:cstheme="minorBidi"/>
              <w:iCs/>
              <w:smallCaps/>
              <w:spacing w:val="5"/>
              <w:kern w:val="2"/>
              <w:szCs w:val="24"/>
              <w:lang w:val="en-US" w:eastAsia="zh-CN" w:bidi="ar-SA"/>
            </w:rPr>
            <w:t>发布</w:t>
          </w:r>
          <w:r>
            <w:tab/>
          </w:r>
          <w:r>
            <w:fldChar w:fldCharType="begin"/>
          </w:r>
          <w:r>
            <w:instrText xml:space="preserve"> PAGEREF _Toc18271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_Toc24569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6.1.6 监考</w:t>
          </w:r>
          <w:r>
            <w:tab/>
          </w:r>
          <w:r>
            <w:fldChar w:fldCharType="begin"/>
          </w:r>
          <w:r>
            <w:instrText xml:space="preserve"> PAGEREF _Toc24569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_Toc4100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6.1.7 成绩</w:t>
          </w:r>
          <w:r>
            <w:tab/>
          </w:r>
          <w:r>
            <w:fldChar w:fldCharType="begin"/>
          </w:r>
          <w:r>
            <w:instrText xml:space="preserve"> PAGEREF _Toc4100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_Toc28619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6.1.8 统计</w:t>
          </w:r>
          <w:r>
            <w:tab/>
          </w:r>
          <w:r>
            <w:fldChar w:fldCharType="begin"/>
          </w:r>
          <w:r>
            <w:instrText xml:space="preserve"> PAGEREF _Toc28619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_Toc10356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6.2 证书模板管理</w:t>
          </w:r>
          <w:r>
            <w:tab/>
          </w:r>
          <w:r>
            <w:fldChar w:fldCharType="begin"/>
          </w:r>
          <w:r>
            <w:instrText xml:space="preserve"> PAGEREF _Toc10356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_Toc16238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theme="minorBidi"/>
              <w:smallCaps/>
              <w:spacing w:val="5"/>
              <w:kern w:val="2"/>
              <w:szCs w:val="32"/>
              <w:lang w:val="en-US" w:eastAsia="zh-CN" w:bidi="ar-SA"/>
            </w:rPr>
            <w:t xml:space="preserve">7 </w:t>
          </w:r>
          <w:r>
            <w:rPr>
              <w:rFonts w:hint="eastAsia" w:cstheme="minorBidi"/>
              <w:smallCaps/>
              <w:spacing w:val="5"/>
              <w:kern w:val="2"/>
              <w:szCs w:val="32"/>
              <w:lang w:val="en-US" w:eastAsia="zh-CN" w:bidi="ar-SA"/>
            </w:rPr>
            <w:t>数据汇总</w:t>
          </w:r>
          <w:r>
            <w:tab/>
          </w:r>
          <w:r>
            <w:fldChar w:fldCharType="begin"/>
          </w:r>
          <w:r>
            <w:instrText xml:space="preserve"> PAGEREF _Toc16238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_Toc7370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7.1 学习</w:t>
          </w:r>
          <w:r>
            <w:rPr>
              <w:rFonts w:hint="eastAsia"/>
              <w:lang w:val="en-US" w:eastAsia="zh-CN"/>
            </w:rPr>
            <w:t>记录</w:t>
          </w:r>
          <w:r>
            <w:tab/>
          </w:r>
          <w:r>
            <w:fldChar w:fldCharType="begin"/>
          </w:r>
          <w:r>
            <w:instrText xml:space="preserve"> PAGEREF _Toc7370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_Toc11851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7.2 练习记录</w:t>
          </w:r>
          <w:r>
            <w:tab/>
          </w:r>
          <w:r>
            <w:fldChar w:fldCharType="begin"/>
          </w:r>
          <w:r>
            <w:instrText xml:space="preserve"> PAGEREF _Toc11851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7.3 </w:t>
          </w:r>
          <w:r>
            <w:rPr>
              <w:rFonts w:hint="eastAsia"/>
              <w:lang w:val="en-US" w:eastAsia="zh-CN"/>
            </w:rPr>
            <w:t>成绩管理</w:t>
          </w:r>
          <w:r>
            <w:tab/>
          </w:r>
          <w:r>
            <w:fldChar w:fldCharType="begin"/>
          </w:r>
          <w:r>
            <w:instrText xml:space="preserve"> PAGEREF _Toc3004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_Toc20860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8 系统管理</w:t>
          </w:r>
          <w:r>
            <w:tab/>
          </w:r>
          <w:r>
            <w:fldChar w:fldCharType="begin"/>
          </w:r>
          <w:r>
            <w:instrText xml:space="preserve"> PAGEREF _Toc20860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_Toc27185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8.1 知识标签</w:t>
          </w:r>
          <w:r>
            <w:tab/>
          </w:r>
          <w:r>
            <w:fldChar w:fldCharType="begin"/>
          </w:r>
          <w:r>
            <w:instrText xml:space="preserve"> PAGEREF _Toc27185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_Toc5536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8.2 学期管理</w:t>
          </w:r>
          <w:r>
            <w:tab/>
          </w:r>
          <w:r>
            <w:fldChar w:fldCharType="begin"/>
          </w:r>
          <w:r>
            <w:instrText xml:space="preserve"> PAGEREF _Toc5536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_Toc22618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Theme="minorEastAsia" w:cstheme="minorBidi"/>
              <w:smallCaps/>
              <w:kern w:val="2"/>
              <w:szCs w:val="24"/>
              <w:lang w:val="en-US" w:eastAsia="zh-CN" w:bidi="ar-SA"/>
            </w:rPr>
            <w:t xml:space="preserve">8.3 </w:t>
          </w:r>
          <w:r>
            <w:rPr>
              <w:rFonts w:hint="eastAsia" w:cstheme="minorBidi"/>
              <w:smallCaps/>
              <w:kern w:val="2"/>
              <w:szCs w:val="24"/>
              <w:lang w:val="en-US" w:eastAsia="zh-CN" w:bidi="ar-SA"/>
            </w:rPr>
            <w:t>文件管理</w:t>
          </w:r>
          <w:r>
            <w:tab/>
          </w:r>
          <w:r>
            <w:fldChar w:fldCharType="begin"/>
          </w:r>
          <w:r>
            <w:instrText xml:space="preserve"> PAGEREF _Toc22618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_Toc4105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8.4 </w:t>
          </w:r>
          <w:r>
            <w:rPr>
              <w:rFonts w:hint="eastAsia"/>
              <w:lang w:val="en-US" w:eastAsia="zh-CN"/>
            </w:rPr>
            <w:t>轮播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_Toc4105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_Toc15514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Theme="minorEastAsia" w:cstheme="minorBidi"/>
              <w:smallCaps/>
              <w:kern w:val="2"/>
              <w:szCs w:val="24"/>
              <w:lang w:val="en-US" w:eastAsia="zh-CN" w:bidi="ar-SA"/>
            </w:rPr>
            <w:t xml:space="preserve">8.5 </w:t>
          </w:r>
          <w:r>
            <w:rPr>
              <w:rFonts w:hint="eastAsia" w:cstheme="minorBidi"/>
              <w:smallCaps/>
              <w:kern w:val="2"/>
              <w:szCs w:val="24"/>
              <w:lang w:val="en-US" w:eastAsia="zh-CN" w:bidi="ar-SA"/>
            </w:rPr>
            <w:t>系统设置</w:t>
          </w:r>
          <w:r>
            <w:tab/>
          </w:r>
          <w:r>
            <w:fldChar w:fldCharType="begin"/>
          </w:r>
          <w:r>
            <w:instrText xml:space="preserve"> PAGEREF _Toc15514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/>
            </w:rPr>
            <w:t xml:space="preserve">9 </w:t>
          </w:r>
          <w:r>
            <w:rPr>
              <w:rFonts w:hint="eastAsia"/>
              <w:lang w:val="en-US" w:eastAsia="zh-CN"/>
            </w:rPr>
            <w:t>个人中心</w:t>
          </w:r>
          <w:r>
            <w:tab/>
          </w:r>
          <w:r>
            <w:fldChar w:fldCharType="begin"/>
          </w:r>
          <w:r>
            <w:instrText xml:space="preserve"> PAGEREF _Toc634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_Toc15055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9.1 </w:t>
          </w:r>
          <w:r>
            <w:rPr>
              <w:rFonts w:hint="eastAsia"/>
              <w:lang w:val="en-US" w:eastAsia="zh-CN"/>
            </w:rPr>
            <w:t>题库练习</w:t>
          </w:r>
          <w:r>
            <w:tab/>
          </w:r>
          <w:r>
            <w:fldChar w:fldCharType="begin"/>
          </w:r>
          <w:r>
            <w:instrText xml:space="preserve"> PAGEREF _Toc15055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_Toc28127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9.2 </w:t>
          </w:r>
          <w:r>
            <w:rPr>
              <w:rFonts w:hint="eastAsia"/>
              <w:lang w:val="en-US" w:eastAsia="zh-CN"/>
            </w:rPr>
            <w:t>常规考试</w:t>
          </w:r>
          <w:r>
            <w:tab/>
          </w:r>
          <w:r>
            <w:fldChar w:fldCharType="begin"/>
          </w:r>
          <w:r>
            <w:instrText xml:space="preserve"> PAGEREF _Toc28127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_Toc4789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Theme="minorEastAsia" w:cstheme="minorBidi"/>
              <w:smallCaps/>
              <w:kern w:val="2"/>
              <w:szCs w:val="24"/>
              <w:lang w:val="en-US" w:eastAsia="zh-CN" w:bidi="ar-SA"/>
            </w:rPr>
            <w:t xml:space="preserve">9.3 </w:t>
          </w:r>
          <w:r>
            <w:rPr>
              <w:rFonts w:hint="eastAsia" w:cstheme="minorBidi"/>
              <w:smallCaps/>
              <w:kern w:val="2"/>
              <w:szCs w:val="24"/>
              <w:lang w:val="en-US" w:eastAsia="zh-CN" w:bidi="ar-SA"/>
            </w:rPr>
            <w:t>错题集</w:t>
          </w:r>
          <w:r>
            <w:tab/>
          </w:r>
          <w:r>
            <w:fldChar w:fldCharType="begin"/>
          </w:r>
          <w:r>
            <w:instrText xml:space="preserve"> PAGEREF _Toc4789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_Toc13207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9.4 </w:t>
          </w:r>
          <w:r>
            <w:rPr>
              <w:rFonts w:hint="eastAsia"/>
              <w:lang w:val="en-US" w:eastAsia="zh-CN"/>
            </w:rPr>
            <w:t>我的成绩</w:t>
          </w:r>
          <w:r>
            <w:tab/>
          </w:r>
          <w:r>
            <w:fldChar w:fldCharType="begin"/>
          </w:r>
          <w:r>
            <w:instrText xml:space="preserve"> PAGEREF _Toc13207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ind w:firstLine="480"/>
            <w:rPr>
              <w:b/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</w:sdtContent>
    </w:sdt>
    <w:p>
      <w:pPr>
        <w:ind w:firstLine="660"/>
      </w:pPr>
      <w:r>
        <w:rPr>
          <w:rFonts w:ascii="宋体" w:hAnsi="宋体" w:cstheme="minorBidi"/>
          <w:spacing w:val="5"/>
          <w:sz w:val="32"/>
          <w:szCs w:val="32"/>
        </w:rPr>
        <w:br w:type="page"/>
      </w:r>
    </w:p>
    <w:bookmarkEnd w:id="0"/>
    <w:bookmarkEnd w:id="1"/>
    <w:p>
      <w:pPr>
        <w:pStyle w:val="4"/>
      </w:pPr>
      <w:bookmarkStart w:id="2" w:name="_Toc10380"/>
      <w:bookmarkStart w:id="3" w:name="_Toc56086174"/>
      <w:r>
        <w:rPr>
          <w:rFonts w:hint="eastAsia"/>
        </w:rPr>
        <w:t>系统登陆及角色选择</w:t>
      </w:r>
      <w:bookmarkEnd w:id="2"/>
      <w:bookmarkEnd w:id="3"/>
    </w:p>
    <w:p>
      <w:pPr>
        <w:pStyle w:val="2"/>
        <w:ind w:left="0" w:leftChars="0" w:firstLine="480"/>
      </w:pPr>
      <w:r>
        <w:rPr>
          <w:rFonts w:hint="eastAsia"/>
        </w:rPr>
        <w:t>系统</w:t>
      </w:r>
      <w:r>
        <w:t>PC</w:t>
      </w:r>
      <w:r>
        <w:rPr>
          <w:rFonts w:hint="eastAsia"/>
        </w:rPr>
        <w:t>端登录流程：</w:t>
      </w:r>
    </w:p>
    <w:p>
      <w:pPr>
        <w:pStyle w:val="2"/>
        <w:ind w:left="0" w:leftChars="0" w:firstLine="480"/>
      </w:pPr>
      <w:r>
        <w:rPr>
          <w:rFonts w:hint="eastAsia"/>
        </w:rPr>
        <w:t>登录“实验室与设备综合管理平台”→“角色选择”→“系统菜单”→“安全学习”。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在浏览器地址栏中输入https://lims.ncepu.edu.cn/lab-study-front/home进入“实验室与设备综合管理平台”主界面，校内人员通过</w:t>
      </w:r>
      <w:r>
        <w:t>使用统一身份认证登录，</w:t>
      </w:r>
      <w:r>
        <w:rPr>
          <w:rFonts w:hint="eastAsia"/>
        </w:rPr>
        <w:t>校外人员通过账号密码进行登录。登录后</w:t>
      </w:r>
      <w:bookmarkStart w:id="46" w:name="_GoBack"/>
      <w:bookmarkEnd w:id="46"/>
      <w:r>
        <w:rPr>
          <w:rFonts w:hint="eastAsia"/>
        </w:rPr>
        <w:t>，跳出“选择角色”对话框，单击对话框中“</w:t>
      </w:r>
      <w:r>
        <w:rPr>
          <w:rFonts w:hint="eastAsia"/>
          <w:lang w:val="en-US" w:eastAsia="zh-CN"/>
        </w:rPr>
        <w:t>校级管理员</w:t>
      </w:r>
      <w:r>
        <w:rPr>
          <w:rFonts w:hint="eastAsia"/>
        </w:rPr>
        <w:t>”角色右侧的“选择”按钮，登录系统。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3070860</wp:posOffset>
                </wp:positionV>
                <wp:extent cx="9525" cy="590550"/>
                <wp:effectExtent l="78740" t="0" r="83185" b="0"/>
                <wp:wrapNone/>
                <wp:docPr id="114" name="直接箭头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8.65pt;margin-top:241.8pt;height:46.5pt;width:0.75pt;z-index:251677696;mso-width-relative:page;mso-height-relative:page;" filled="f" stroked="t" coordsize="21600,21600" o:gfxdata="UEsDBAoAAAAAAIdO4kAAAAAAAAAAAAAAAAAEAAAAZHJzL1BLAwQUAAAACACHTuJAOr0rBtsAAAAL&#10;AQAADwAAAGRycy9kb3ducmV2LnhtbE2Py07DMBBF90j8gzVIbBC121A3TTOpEKjddEUoeyeeJlFj&#10;O4rdB/16zAqWozm699x8fTU9O9PoO2cRphMBjGztdGcbhP3n5jkF5oOyWvXOEsI3eVgX93e5yrS7&#10;2A86l6FhMcT6TCG0IQwZ575uySg/cQPZ+Du40agQz7HhelSXGG56PhNCcqM6GxtaNdBbS/WxPBmE&#10;7fZ23OyeXuezhMKudJX4er/tER8fpmIFLNA1/MHwqx/VoYhOlTtZ7VmPIJeLJKIIL2kigUVCLtM4&#10;pkKYL6QEXuT8/4biB1BLAwQUAAAACACHTuJAYeDswwwCAADlAwAADgAAAGRycy9lMm9Eb2MueG1s&#10;rVNLjhMxEN0jcQfLe9KdQNBMlM4sEsIGQSTgAI7b3W3JP1V50skluAASK2AFs5o9p4HhGJTdIQPD&#10;Zhb0wl3+1Cu/V8/zi701bKcAtXcVH49KzpSTvtaurfjbN+tHZ5xhFK4WxjtV8YNCfrF4+GDeh5ma&#10;+M6bWgEjEIezPlS8izHMigJlp6zAkQ/K0WbjwYpIU2iLGkRP6NYUk7J8WvQe6gBeKkRaXQ2b/IgI&#10;9wH0TaOlWnl5aZWLAyooIyJRwk4H5It826ZRMr5qGlSRmYoT05hHKkLxNo3FYi5mLYjQaXm8grjP&#10;Fe5wskI7KnqCWoko2CXof6CsluDRN3EkvS0GIlkRYjEu72jzuhNBZS4kNYaT6Pj/YOXL3QaYrskJ&#10;4yecOWGp5Tfvr3+8+3Rz9fX7x+uf3z6k+Mtnlg6QXH3AGWUt3QaOMwwbSNz3Ddj0J1ZsnyU+nCRW&#10;+8gkLZ5PJ1POJG1Mz8vpNDeguE0NgPG58paloOIYQei2i0vvHLXSwziLLHYvMFJxSvydkOo6v9bG&#10;5I4ax/qKPz4bl9RoKcimDdmDQhuIKrqWM2Fa8r+MkCHRG12n9ASE0G6XBthOkGvW65K+xJzK/XUs&#10;1V4J7IZzeWvwk9WRnojRtuJnKflosyi0eeZqFg+BRBYAvj/CGkfoSdhByhRtfX3ICud16n6uf3Rq&#10;stef85x9+zoX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6vSsG2wAAAAsBAAAPAAAAAAAAAAEA&#10;IAAAACIAAABkcnMvZG93bnJldi54bWxQSwECFAAUAAAACACHTuJAYeDswwwCAADlAwAADgAAAAAA&#10;AAABACAAAAAqAQAAZHJzL2Uyb0RvYy54bWxQSwUGAAAAAAYABgBZAQAAqA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2303145</wp:posOffset>
                </wp:positionV>
                <wp:extent cx="561975" cy="0"/>
                <wp:effectExtent l="0" t="85725" r="9525" b="85725"/>
                <wp:wrapNone/>
                <wp:docPr id="112" name="直接箭头连接符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8.4pt;margin-top:181.35pt;height:0pt;width:44.25pt;z-index:251676672;mso-width-relative:page;mso-height-relative:page;" filled="f" stroked="t" coordsize="21600,21600" o:gfxdata="UEsDBAoAAAAAAIdO4kAAAAAAAAAAAAAAAAAEAAAAZHJzL1BLAwQUAAAACACHTuJA++degNgAAAAL&#10;AQAADwAAAGRycy9kb3ducmV2LnhtbE2PzU7DMBCE70i8g7VIXFBr11ZDFeJUCNReeiKUuxMvSdR4&#10;HcXuD316jIQEx50dzXxTrC9uYCecQu9Jw2IugCE13vbUati/b2YrYCEasmbwhBq+MMC6vL0pTG79&#10;md7wVMWWpRAKudHQxTjmnIemQ2fC3I9I6ffpJ2diOqeW28mcU7gbuBQi4870lBo6M+JLh82hOjoN&#10;2+31sNk9PC+lwrirfC0+Xq97re/vFuIJWMRL/DPDD35ChzIx1f5INrBBg1RZQo8aVCYfgSWHkksF&#10;rP5VeFnw/xvKb1BLAwQUAAAACACHTuJAPDIz5wcCAADiAwAADgAAAGRycy9lMm9Eb2MueG1srVNL&#10;jhMxEN0jcQfLe9LpoBlClM4sEsIGQSTgAI7b3W3JP1V50skluAASK2AFrGbPaWA4BmWnJwPDZhb0&#10;wl3+1Cu/V8/zi701bKcAtXcVL0djzpSTvtaurfjbN+tHU84wClcL452q+EEhv1g8fDDvw0xNfOdN&#10;rYARiMNZHyrexRhmRYGyU1bgyAflaLPxYEWkKbRFDaIndGuKyXh8XvQe6gBeKkRaXR03+YAI9wH0&#10;TaOlWnl5aZWLR1RQRkSihJ0OyBf5tk2jZHzVNKgiMxUnpjGPVITibRqLxVzMWhCh03K4grjPFe5w&#10;skI7KnqCWoko2CXof6CsluDRN3EkvS2ORLIixKIc39HmdSeCylxIagwn0fH/wcqXuw0wXZMTygln&#10;Tlhq+fX7q5/vPl1/+/rj49Wv7x9S/OUzSwdIrj7gjLKWbgPDDMMGEvd9Azb9iRXbZ4kPJ4nVPjJJ&#10;i2fn5dMnZ5zJm63iNi8AxufKW5aCimMEodsuLr1z1EcPZVZY7F5gpMqUeJOQijq/1sbkdhrH+oo/&#10;npZj6rIU5NGGvEGhDcQTXcuZMC2ZX0bIkOiNrlN6AkJot0sDbCfIMuv1mL5Em8r9dSzVXgnsjufy&#10;1tFMVkd6H0bbik9T8uCxKLR55moWD4EUFgC+H2CNI/Sk6lHHFG19fcjy5nVqfa4/2DR56895zr59&#10;mo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++degNgAAAALAQAADwAAAAAAAAABACAAAAAiAAAA&#10;ZHJzL2Rvd25yZXYueG1sUEsBAhQAFAAAAAgAh07iQDwyM+cHAgAA4gMAAA4AAAAAAAAAAQAgAAAA&#10;JwEAAGRycy9lMm9Eb2MueG1sUEsFBgAAAAAGAAYAWQEAAKA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  <w:lang w:val="en-US" w:eastAsia="zh-CN"/>
        </w:rPr>
        <w:t>登录后可以直接</w:t>
      </w:r>
      <w:r>
        <w:rPr>
          <w:rFonts w:hint="eastAsia"/>
        </w:rPr>
        <w:t>进入实验室安全学习中心首页。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1823720" cy="1464945"/>
            <wp:effectExtent l="9525" t="9525" r="14605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464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57880" cy="1463675"/>
            <wp:effectExtent l="9525" t="9525" r="2349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1463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4150" cy="3042920"/>
            <wp:effectExtent l="9525" t="9525" r="22225" b="1460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2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  <w:lang w:val="en-US" w:eastAsia="zh-CN"/>
        </w:rPr>
        <w:t>点击页面右上方的“进入后台”，</w:t>
      </w:r>
      <w:r>
        <w:rPr>
          <w:rFonts w:hint="eastAsia"/>
        </w:rPr>
        <w:t>进入后台管理页面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可以看到有“信息公告”、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微课堂</w:t>
      </w:r>
      <w:r>
        <w:rPr>
          <w:rFonts w:hint="eastAsia"/>
          <w:lang w:eastAsia="zh-CN"/>
        </w:rPr>
        <w:t>”、</w:t>
      </w:r>
      <w:r>
        <w:rPr>
          <w:rFonts w:hint="eastAsia"/>
        </w:rPr>
        <w:t>“安全知识库”、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题库管理</w:t>
      </w:r>
      <w:r>
        <w:rPr>
          <w:rFonts w:hint="eastAsia"/>
          <w:lang w:eastAsia="zh-CN"/>
        </w:rPr>
        <w:t>”、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考试</w:t>
      </w:r>
      <w:r>
        <w:rPr>
          <w:rFonts w:hint="eastAsia"/>
        </w:rPr>
        <w:t>管理”、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个人中心</w:t>
      </w:r>
      <w:r>
        <w:rPr>
          <w:rFonts w:hint="eastAsia"/>
          <w:lang w:eastAsia="zh-CN"/>
        </w:rPr>
        <w:t>”、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数据汇总</w:t>
      </w:r>
      <w:r>
        <w:rPr>
          <w:rFonts w:hint="eastAsia"/>
        </w:rPr>
        <w:t>”和“系统管理”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个模块。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5131435" cy="2032635"/>
            <wp:effectExtent l="9525" t="9525" r="21590" b="152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2533" t="11231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032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30433"/>
      <w:r>
        <w:rPr>
          <w:rFonts w:hint="eastAsia"/>
        </w:rPr>
        <w:t>信息公告</w:t>
      </w:r>
      <w:bookmarkEnd w:id="4"/>
    </w:p>
    <w:p>
      <w:pPr>
        <w:pStyle w:val="2"/>
        <w:ind w:left="0" w:leftChars="0" w:firstLine="480"/>
      </w:pPr>
      <w:r>
        <w:rPr>
          <w:rFonts w:hint="eastAsia"/>
        </w:rPr>
        <w:t>信息公告模块，主要管理“通知公告”和“规章制度”。</w:t>
      </w:r>
    </w:p>
    <w:p>
      <w:pPr>
        <w:pStyle w:val="5"/>
      </w:pPr>
      <w:bookmarkStart w:id="5" w:name="_Toc6131"/>
      <w:r>
        <w:rPr>
          <w:rFonts w:hint="eastAsia"/>
        </w:rPr>
        <w:t>通知公告</w:t>
      </w:r>
      <w:bookmarkEnd w:id="5"/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左侧菜单“信息公告”→“通知公告”，可进行通知公告管理。在搜索框中“输入公告名称”，点击“查询”，可查询公告信息；可对已发布的通知公告进行“编辑”、“删除”操作。点击右上方的“添加公告”，跳转到公告管理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141595" cy="1141730"/>
            <wp:effectExtent l="9525" t="9525" r="11430" b="1079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2352" t="16099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114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在公告管理页面，编辑通知公告信息；系统默认对新增的通知公告在前台页面置顶显示，点击“</w:t>
      </w:r>
      <w:r>
        <w:drawing>
          <wp:inline distT="0" distB="0" distL="0" distR="0">
            <wp:extent cx="322580" cy="135255"/>
            <wp:effectExtent l="0" t="0" r="127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652" cy="14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”可切换是否置顶的状态。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157470" cy="2526030"/>
            <wp:effectExtent l="9525" t="9525" r="14605" b="171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l="1991" t="7981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2526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" w:name="_Toc15934"/>
      <w:r>
        <w:rPr>
          <w:rFonts w:hint="eastAsia"/>
        </w:rPr>
        <w:t>规章制度</w:t>
      </w:r>
      <w:bookmarkEnd w:id="6"/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左侧菜单“规章制度”，可进行规章制度管理。在搜索框中“输入制度名称”，点击“查询”，可查询规章制度信息；可对已发布的规章制度进行“编辑”、“删除”操作。切换选项卡（全部、国家法律法规、地方法律法规、学校制度）可查看不同等级的规章制度。</w:t>
      </w:r>
    </w:p>
    <w:p>
      <w:pPr>
        <w:pStyle w:val="2"/>
        <w:ind w:left="0" w:leftChars="0" w:firstLine="480"/>
      </w:pPr>
      <w:r>
        <w:rPr>
          <w:rFonts w:hint="eastAsia"/>
        </w:rPr>
        <w:t>点击右上方的“添加制度”，跳转到制度管理页面。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128895" cy="2324735"/>
            <wp:effectExtent l="9525" t="9525" r="24130" b="2794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2534" t="8269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2324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</w:pPr>
      <w:r>
        <w:rPr>
          <w:rFonts w:hint="eastAsia"/>
        </w:rPr>
        <w:t>在制度管理页面，编辑规章制度信息。系统默认对新增的规章制度在前台页面显示，可选择“否”不将其显示在前台页面。类型目前有三种，分别为国家法律法规、地方法律法规、学校制度，可以根据添加的规章制度所属类型进行选择。每一条规章制度可设置一个“知识标签”。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在页面下方设置本条规章制度是否必学；设置相应的学习要求，若选择“时长”，那么还需要设定本条规章制度要求学生学习的时长，如设定了1</w:t>
      </w:r>
      <w:r>
        <w:t>20</w:t>
      </w:r>
      <w:r>
        <w:rPr>
          <w:rFonts w:hint="eastAsia"/>
        </w:rPr>
        <w:t>秒，那么学生在考核活动中学习本条规章制度时，学习的时长必须满1</w:t>
      </w:r>
      <w:r>
        <w:t>20</w:t>
      </w:r>
      <w:r>
        <w:rPr>
          <w:rFonts w:hint="eastAsia"/>
        </w:rPr>
        <w:t>秒才算完成学习。信息编辑完成后，点击“保存”，保存已编辑信息；点击“返回”，返回规章制度页面。</w:t>
      </w:r>
    </w:p>
    <w:p>
      <w:pPr>
        <w:pStyle w:val="2"/>
        <w:spacing w:after="0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3128645</wp:posOffset>
                </wp:positionV>
                <wp:extent cx="9525" cy="685800"/>
                <wp:effectExtent l="78105" t="0" r="83820" b="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65855" y="5624195"/>
                          <a:ext cx="9525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7.9pt;margin-top:246.35pt;height:54pt;width:0.75pt;z-index:251661312;mso-width-relative:page;mso-height-relative:page;" filled="f" stroked="t" coordsize="21600,21600" o:gfxdata="UEsDBAoAAAAAAIdO4kAAAAAAAAAAAAAAAAAEAAAAZHJzL1BLAwQUAAAACACHTuJAR/Ga5dsAAAAL&#10;AQAADwAAAGRycy9kb3ducmV2LnhtbE2PzU7DMBCE70i8g7VIXBC1m9CGhGwqBGovPRHK3UmWJGq8&#10;jmL3hz495lSOoxnNfJOvzmYQR5pcbxlhPlMgiGvb9Nwi7D7Xj88gnNfc6MEyIfyQg1Vxe5PrrLEn&#10;/qBj6VsRSthlGqHzfsykdHVHRruZHYmD920no32QUyubSZ9CuRlkpNRSGt1zWOj0SG8d1fvyYBA2&#10;m8t+vX14XUQx+W1pK/X1ftkh3t/N1QsIT2d/DcMffkCHIjBV9sCNEwNCnC4Cukd4SqMEREjEaRKD&#10;qBCWSiUgi1z+/1D8AlBLAwQUAAAACACHTuJABBe0mBYCAADtAwAADgAAAGRycy9lMm9Eb2MueG1s&#10;rVPNjtMwEL4j8Q6W7zRpIVE3arqHlnJBsBLwAK7jJJb8p7G3aV+CF0DiBJyA0955Glgeg7ETdmG5&#10;7IEcnLHH881834xX50etyEGAl9bUdD7LKRGG20aarqZvXu8eLSnxgZmGKWtETU/C0/P1wwerwVVi&#10;YXurGgEEQYyvBlfTPgRXZZnnvdDMz6wTBp2tBc0CbqHLGmADomuVLfK8zAYLjQPLhfd4uh2ddEKE&#10;+wDatpVcbC2/1MKEERWEYgEp+V46T9ep2rYVPLxsWy8CUTVFpiGtmATtfVyz9YpVHTDXSz6VwO5T&#10;wh1OmkmDSW+gtiwwcgnyHygtOVhv2zDjVmcjkaQIspjnd7R51TMnEheU2rsb0f3/g+UvDhdAZFPT&#10;khLDNDb8+t3Vj7cfr79++f7h6ue399H+/ImUUarB+QojNuYCpp13FxB5H1vQ8Y+MyLGmj8uyWBYF&#10;JaeaFuXiyfysGKUWx0A4XjgrFujl6C6XxTJPjchuYRz48ExYTaJRUx+Aya4PG2sMttTCPInNDs99&#10;wEIw8HdArMHYnVQqdVYZMmA1yzlmIJzhuLY4Jmhqh5S96ShhqsN3wAMkSG+VbGJ4BPLQ7TcKyIHh&#10;9Ox2OX6RBab761rMvWW+H+8l10hWy4BPRUldU6Q4RbMqMKmemoaEk0O5GYAdJlhlED2KPMoarb1t&#10;TkntdI5TkPJPExvH7M99ir59pe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/Ga5dsAAAALAQAA&#10;DwAAAAAAAAABACAAAAAiAAAAZHJzL2Rvd25yZXYueG1sUEsBAhQAFAAAAAgAh07iQAQXtJgWAgAA&#10;7QMAAA4AAAAAAAAAAQAgAAAAKgEAAGRycy9lMm9Eb2MueG1sUEsFBgAAAAAGAAYAWQEAALIFAAAA&#10;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47310" cy="3401060"/>
            <wp:effectExtent l="9525" t="9525" r="2476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l="2172" b="32764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40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147310" cy="1448435"/>
            <wp:effectExtent l="9525" t="9525" r="24765" b="279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l="2172" t="71366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1448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26059"/>
      <w:r>
        <w:rPr>
          <w:rFonts w:hint="eastAsia"/>
        </w:rPr>
        <w:t>微课堂</w:t>
      </w:r>
      <w:bookmarkEnd w:id="7"/>
    </w:p>
    <w:p>
      <w:pPr>
        <w:pStyle w:val="2"/>
        <w:ind w:left="0" w:leftChars="0" w:firstLine="480"/>
        <w:jc w:val="left"/>
        <w:rPr>
          <w:rFonts w:hint="eastAsia" w:eastAsia="宋体"/>
          <w:lang w:val="en-US" w:eastAsia="zh-CN"/>
        </w:rPr>
      </w:pPr>
      <w:r>
        <w:rPr>
          <w:rFonts w:hint="eastAsia"/>
        </w:rPr>
        <w:t>点击左侧菜单“微课堂”→“课程管理”，可</w:t>
      </w:r>
      <w:r>
        <w:rPr>
          <w:rFonts w:hint="eastAsia"/>
          <w:lang w:val="en-US" w:eastAsia="zh-CN"/>
        </w:rPr>
        <w:t>进行</w:t>
      </w:r>
      <w:r>
        <w:rPr>
          <w:rFonts w:hint="eastAsia"/>
        </w:rPr>
        <w:t>微课堂课程</w:t>
      </w:r>
      <w:r>
        <w:rPr>
          <w:rFonts w:hint="eastAsia"/>
          <w:lang w:val="en-US" w:eastAsia="zh-CN"/>
        </w:rPr>
        <w:t>管理</w:t>
      </w:r>
      <w:r>
        <w:rPr>
          <w:rFonts w:hint="eastAsia"/>
        </w:rPr>
        <w:t>。可以在搜索框中“输入课程名称”，点击查询，根据关键字检索相应的课程信息；点击“重置”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可以清空搜索框中的搜索条件；对已有课程可以进行“编辑”、“章节管理”、“删除”操作。</w:t>
      </w:r>
      <w:r>
        <w:rPr>
          <w:rFonts w:hint="eastAsia"/>
          <w:lang w:val="en-US" w:eastAsia="zh-CN"/>
        </w:rPr>
        <w:tab/>
      </w:r>
    </w:p>
    <w:p>
      <w:pPr>
        <w:pStyle w:val="2"/>
        <w:ind w:left="0" w:leftChars="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5141595" cy="2167890"/>
            <wp:effectExtent l="9525" t="9525" r="11430" b="1333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rcRect l="2352" t="9178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16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8" w:name="_Toc15117"/>
      <w:r>
        <w:rPr>
          <w:rFonts w:hint="eastAsia"/>
          <w:lang w:val="en-US" w:eastAsia="zh-CN"/>
        </w:rPr>
        <w:t>课程管理</w:t>
      </w:r>
      <w:bookmarkEnd w:id="8"/>
    </w:p>
    <w:p>
      <w:pPr>
        <w:pStyle w:val="2"/>
        <w:ind w:left="0" w:leftChars="0" w:firstLine="48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点击“添加课程”进入课程编辑界面，可以编辑课程名称、课程描述、课程封面、主讲人、主讲人介绍、开放设置以及课程完成条件。</w:t>
      </w:r>
    </w:p>
    <w:p>
      <w:pPr>
        <w:pStyle w:val="2"/>
        <w:ind w:left="0" w:leftChars="0" w:firstLine="48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新增加的课程</w:t>
      </w:r>
      <w:r>
        <w:rPr>
          <w:rFonts w:hint="eastAsia"/>
        </w:rPr>
        <w:t>默认在前台显示，若管理员</w:t>
      </w:r>
      <w:r>
        <w:rPr>
          <w:rFonts w:hint="eastAsia"/>
          <w:lang w:val="en-US" w:eastAsia="zh-CN"/>
        </w:rPr>
        <w:t>觉得该课程暂时</w:t>
      </w:r>
      <w:r>
        <w:rPr>
          <w:rFonts w:hint="eastAsia"/>
        </w:rPr>
        <w:t>不用给学生进行学习，那么可以将</w:t>
      </w:r>
      <w:r>
        <w:rPr>
          <w:rFonts w:hint="eastAsia"/>
          <w:lang w:val="en-US" w:eastAsia="zh-CN"/>
        </w:rPr>
        <w:t>开放</w:t>
      </w:r>
      <w:r>
        <w:rPr>
          <w:rFonts w:hint="eastAsia"/>
        </w:rPr>
        <w:t>设置为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关闭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，这时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数据会保留，但是学生看不到相关的</w:t>
      </w:r>
      <w:r>
        <w:rPr>
          <w:rFonts w:hint="eastAsia"/>
          <w:lang w:val="en-US" w:eastAsia="zh-CN"/>
        </w:rPr>
        <w:t>课程</w:t>
      </w:r>
      <w:r>
        <w:rPr>
          <w:rFonts w:hint="eastAsia"/>
        </w:rPr>
        <w:t>数据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也可以设置课程的开始和结束时间，学生需要规定时间内进行学习。课程完成条件分为无要求、达到课程学时以及通过课程考试，需要通过课程考试则要点击“创建考试”按钮，选择一个已存在的考试进行绑定。</w:t>
      </w:r>
    </w:p>
    <w:p>
      <w:pPr>
        <w:pStyle w:val="2"/>
        <w:ind w:left="0" w:leftChars="0" w:firstLine="48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课程信息设置完成后，点击“保存”，保存课程信息并返回课程管理界面。后续可以点击课程管理界面的“编辑”按钮，重新进入课程编辑界面。</w:t>
      </w:r>
      <w:r>
        <w:drawing>
          <wp:inline distT="0" distB="0" distL="114300" distR="114300">
            <wp:extent cx="5171440" cy="2110740"/>
            <wp:effectExtent l="9525" t="9525" r="19685" b="13335"/>
            <wp:docPr id="10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rcRect l="1809" t="8278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110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9" w:name="_Toc17915"/>
      <w:r>
        <w:rPr>
          <w:rFonts w:hint="eastAsia"/>
          <w:lang w:val="en-US" w:eastAsia="zh-CN"/>
        </w:rPr>
        <w:t>章节管理</w:t>
      </w:r>
      <w:bookmarkEnd w:id="9"/>
    </w:p>
    <w:p>
      <w:pPr>
        <w:pStyle w:val="2"/>
        <w:ind w:left="0"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点击微课堂管理界面中的“章节管理”，可以对当前课程下的各个章节内容进行管理。点击左下角的“返回”按钮，可以返回到课程管理界面。</w:t>
      </w:r>
    </w:p>
    <w:p>
      <w:pPr>
        <w:pStyle w:val="2"/>
        <w:ind w:left="0"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个课程拥有若干个章节，一个章节拥有若干个课时，点击“添加章节”，可以在当前课程下添加一个章节；点击“添加课时”，在选定章节下添加一个课时；课程列表中粗体名称为章节名称，章节下为课时名称，点击“编辑”按钮，可以分别对章节名称、序号或者章节中具体的课时内容进行编辑；点击“删除”，删除相应的课时，若想删除某个章节则需要先删除该章节下的所有课时。</w:t>
      </w:r>
    </w:p>
    <w:p>
      <w:pPr>
        <w:pStyle w:val="2"/>
        <w:ind w:left="0" w:leftChars="0" w:firstLine="0" w:firstLineChars="0"/>
        <w:jc w:val="both"/>
        <w:rPr>
          <w:rFonts w:hint="eastAsia" w:ascii="楷体" w:hAnsi="楷体" w:eastAsia="楷体"/>
        </w:rPr>
      </w:pPr>
      <w:r>
        <w:drawing>
          <wp:inline distT="0" distB="0" distL="114300" distR="114300">
            <wp:extent cx="5149850" cy="1480185"/>
            <wp:effectExtent l="9525" t="9525" r="22225" b="1524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rcRect l="2348" t="12401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1480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添加课时”，进入课时添加界面。可以编辑课时类型、课时名称、课时介绍、所属章节、知识标签、音频/视频地址、参考资料、是否必学、学习要求时长等信息。若课时类型为视频/音频，则需要输入视频/音频的地址，学习时长可以通过获取视频时长的方式来设置；若课时类型为文档，则需要上传相应文档，学习时长需要手动设置。</w:t>
      </w:r>
    </w:p>
    <w:p>
      <w:pPr>
        <w:pStyle w:val="2"/>
        <w:ind w:left="0" w:leftChars="0"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设置相应的学习要求，若选择“</w:t>
      </w:r>
      <w:r>
        <w:rPr>
          <w:rFonts w:hint="eastAsia"/>
          <w:lang w:val="en-US" w:eastAsia="zh-CN"/>
        </w:rPr>
        <w:t>按照视频</w:t>
      </w:r>
      <w:r>
        <w:rPr>
          <w:rFonts w:hint="eastAsia"/>
        </w:rPr>
        <w:t>时长”</w:t>
      </w:r>
      <w:r>
        <w:rPr>
          <w:rFonts w:hint="eastAsia"/>
          <w:lang w:val="en-US" w:eastAsia="zh-CN"/>
        </w:rPr>
        <w:t>/“时长”</w:t>
      </w:r>
      <w:r>
        <w:rPr>
          <w:rFonts w:hint="eastAsia"/>
        </w:rPr>
        <w:t>，那么需要设定</w:t>
      </w:r>
      <w:r>
        <w:rPr>
          <w:rFonts w:hint="eastAsia"/>
          <w:lang w:val="en-US" w:eastAsia="zh-CN"/>
        </w:rPr>
        <w:t>该课时</w:t>
      </w:r>
      <w:r>
        <w:rPr>
          <w:rFonts w:hint="eastAsia"/>
        </w:rPr>
        <w:t>要求学生学习的时长，如设定了1</w:t>
      </w:r>
      <w:r>
        <w:t>20</w:t>
      </w:r>
      <w:r>
        <w:rPr>
          <w:rFonts w:hint="eastAsia"/>
        </w:rPr>
        <w:t>秒，那么学生在</w:t>
      </w:r>
      <w:r>
        <w:rPr>
          <w:rFonts w:hint="eastAsia"/>
          <w:lang w:val="en-US" w:eastAsia="zh-CN"/>
        </w:rPr>
        <w:t>学习这个课时的时候</w:t>
      </w:r>
      <w:r>
        <w:rPr>
          <w:rFonts w:hint="eastAsia"/>
        </w:rPr>
        <w:t>，学习的时长必须满1</w:t>
      </w:r>
      <w:r>
        <w:t>20</w:t>
      </w:r>
      <w:r>
        <w:rPr>
          <w:rFonts w:hint="eastAsia"/>
        </w:rPr>
        <w:t>秒才算完成学习。</w:t>
      </w:r>
      <w:r>
        <w:rPr>
          <w:rFonts w:hint="eastAsia"/>
          <w:lang w:val="en-US" w:eastAsia="zh-CN"/>
        </w:rPr>
        <w:t>设置完成后点击“保存”，即可添加课时信息。</w:t>
      </w:r>
    </w:p>
    <w:p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310505" cy="2855595"/>
            <wp:effectExtent l="9525" t="9525" r="13970" b="1143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2855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0" w:name="_Toc31169"/>
      <w:r>
        <w:rPr>
          <w:rFonts w:hint="eastAsia"/>
        </w:rPr>
        <w:t>安全知识库</w:t>
      </w:r>
      <w:bookmarkEnd w:id="10"/>
    </w:p>
    <w:p>
      <w:pPr>
        <w:pStyle w:val="5"/>
      </w:pPr>
      <w:bookmarkStart w:id="11" w:name="_Toc17073"/>
      <w:r>
        <w:rPr>
          <w:rFonts w:hint="eastAsia"/>
        </w:rPr>
        <w:t>安全知识</w:t>
      </w:r>
      <w:bookmarkEnd w:id="11"/>
    </w:p>
    <w:p>
      <w:pPr>
        <w:ind w:firstLine="480"/>
        <w:rPr>
          <w:rFonts w:hint="eastAsia"/>
        </w:rPr>
      </w:pPr>
      <w:r>
        <w:rPr>
          <w:rFonts w:hint="eastAsia"/>
        </w:rPr>
        <w:t>点击左侧菜单“安全知识库”→“安全知识”，可进行安全知识管理。在此模块的页面左侧可管理“安全知识分类”，右侧可管理各分类下的安全知识。</w:t>
      </w:r>
    </w:p>
    <w:p>
      <w:pPr>
        <w:ind w:firstLine="480"/>
      </w:pPr>
      <w:r>
        <w:rPr>
          <w:rFonts w:hint="eastAsia"/>
        </w:rPr>
        <w:t>点击左侧安全知识分类如“通识类安全”，右侧列表将会展示属于“通识类安全”的安全知识。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160010" cy="2004695"/>
            <wp:effectExtent l="9525" t="9525" r="12065" b="241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rcRect l="2167" t="8678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004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页面左侧，安全知识分类管理。点击“</w:t>
      </w:r>
      <w:r>
        <w:drawing>
          <wp:inline distT="0" distB="0" distL="0" distR="0">
            <wp:extent cx="128905" cy="122555"/>
            <wp:effectExtent l="0" t="0" r="4445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497" cy="1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”，弹出弹窗，可编辑安全知识分类。上传每一</w:t>
      </w:r>
      <w:r>
        <w:rPr>
          <w:rFonts w:hint="eastAsia"/>
          <w:lang w:val="en-US" w:eastAsia="zh-CN"/>
        </w:rPr>
        <w:t>个</w:t>
      </w:r>
      <w:r>
        <w:rPr>
          <w:rFonts w:hint="eastAsia"/>
        </w:rPr>
        <w:t>安全知识分类的封面，用于在前台用户页面显示；若要删除已上传的封面，那么鼠标移到已上传封面处，右上角将看到“</w:t>
      </w:r>
      <w:r>
        <w:drawing>
          <wp:inline distT="0" distB="0" distL="0" distR="0">
            <wp:extent cx="130810" cy="116840"/>
            <wp:effectExtent l="0" t="0" r="254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765" cy="1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”，点击即可删除该封面。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安全知识分类默认在前台显示，若管理员觉得有些安全知识分类不用给学生进行查看学习，那么可以将“是否显示”设置为否，这时后台数据会保留，但是学生看不到这类安全知识相关的数据。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点击“添加安全知识分类”，弹出弹窗，可添加安全知识分类，填写内容与编辑安全知识分类一样。</w:t>
      </w:r>
    </w:p>
    <w:p>
      <w:pPr>
        <w:pStyle w:val="2"/>
        <w:spacing w:after="0" w:line="240" w:lineRule="auto"/>
        <w:ind w:left="0" w:leftChars="0" w:firstLine="0" w:firstLineChars="0"/>
        <w:jc w:val="center"/>
        <w:rPr>
          <w:rFonts w:ascii="楷体" w:hAnsi="楷体" w:eastAsia="楷体"/>
        </w:rPr>
      </w:pPr>
      <w:r>
        <w:drawing>
          <wp:inline distT="0" distB="0" distL="0" distR="0">
            <wp:extent cx="5274310" cy="1843405"/>
            <wp:effectExtent l="9525" t="9525" r="1206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jc w:val="left"/>
      </w:pPr>
      <w:r>
        <w:rPr>
          <w:rFonts w:hint="eastAsia"/>
        </w:rPr>
        <w:t>页面右侧，管理每一分类下的安全知识。输入知识名称，点击“查询”可查询安全知识信息；可对已有的安全知识进行“编辑”、“删除”操作。点击“添加安全知识”，进入安全知识管理页面。</w:t>
      </w:r>
    </w:p>
    <w:p>
      <w:pPr>
        <w:pStyle w:val="2"/>
        <w:spacing w:after="0"/>
        <w:ind w:left="0" w:leftChars="0" w:firstLine="0" w:firstLineChars="0"/>
        <w:jc w:val="center"/>
        <w:rPr>
          <w:rFonts w:ascii="楷体" w:hAnsi="楷体" w:eastAsia="楷体"/>
        </w:rPr>
      </w:pPr>
      <w:r>
        <w:drawing>
          <wp:inline distT="0" distB="0" distL="0" distR="0">
            <wp:extent cx="5274310" cy="3084830"/>
            <wp:effectExtent l="9525" t="9525" r="12065" b="107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4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jc w:val="left"/>
        <w:rPr>
          <w:rFonts w:hint="eastAsia"/>
        </w:rPr>
      </w:pPr>
      <w:r>
        <w:rPr>
          <w:rFonts w:hint="eastAsia"/>
        </w:rPr>
        <w:t>安全知识管理页面，可编辑安全知识信息，并进行相关设置。百科词条为多选项，一条安全知识可设置多个词条。</w:t>
      </w:r>
    </w:p>
    <w:p>
      <w:pPr>
        <w:pStyle w:val="2"/>
        <w:spacing w:after="0"/>
        <w:ind w:left="0" w:leftChars="0" w:firstLine="480"/>
        <w:jc w:val="left"/>
      </w:pPr>
      <w:r>
        <w:rPr>
          <w:rFonts w:hint="eastAsia"/>
        </w:rPr>
        <w:t>知识分类目前包含九个选择项，分别为消防安全、特种设备安全、网络安全、辐射类安全、电气类安全、机械建筑类安全、医学生物类安全、通识类安全和化学类安全，从中选择一个作为安全知识所属分类。知识标签为单选项，一个安全知识设置一个知识标签。系统默认对新增的安全知识在前台页面显示，可选择“否”使其不显示在前台页面。</w:t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在页面下方设置本条安全知识是否必学；设置相应的学习要求，若选择“时长”，那么还需要设定本条安全知识要求学生学习的时长，如设定了1</w:t>
      </w:r>
      <w:r>
        <w:t>20</w:t>
      </w:r>
      <w:r>
        <w:rPr>
          <w:rFonts w:hint="eastAsia"/>
        </w:rPr>
        <w:t>秒，那么学生在考核活动中学习本条安全知识时，学习的时长必须满1</w:t>
      </w:r>
      <w:r>
        <w:t>20</w:t>
      </w:r>
      <w:r>
        <w:rPr>
          <w:rFonts w:hint="eastAsia"/>
        </w:rPr>
        <w:t>秒才算完成学习。</w:t>
      </w:r>
    </w:p>
    <w:p>
      <w:pPr>
        <w:pStyle w:val="2"/>
        <w:ind w:left="0" w:leftChars="0" w:firstLine="480"/>
      </w:pPr>
      <w:r>
        <w:rPr>
          <w:rFonts w:hint="eastAsia"/>
        </w:rPr>
        <w:t>信息编辑完成后，点击“保存”，保存已编辑信息；点击“返回”，返回安全知识页面。</w:t>
      </w:r>
    </w:p>
    <w:p>
      <w:pPr>
        <w:pStyle w:val="2"/>
        <w:spacing w:after="0"/>
        <w:ind w:left="0" w:leftChars="0" w:firstLine="0" w:firstLineChars="0"/>
        <w:jc w:val="center"/>
        <w:rPr>
          <w:rFonts w:ascii="楷体" w:hAnsi="楷体" w:eastAsia="楷体"/>
        </w:rPr>
      </w:pPr>
      <w:r>
        <w:drawing>
          <wp:inline distT="0" distB="0" distL="114300" distR="114300">
            <wp:extent cx="5137785" cy="3783965"/>
            <wp:effectExtent l="9525" t="9525" r="15240" b="1651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rcRect l="2353" t="5247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783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2" w:name="_Toc21838"/>
      <w:r>
        <w:rPr>
          <w:rFonts w:hint="eastAsia"/>
        </w:rPr>
        <w:t>安全手册</w:t>
      </w:r>
      <w:bookmarkEnd w:id="12"/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点击左侧菜单“安全手册”，可进行安全手册管理。在搜索框“输入手册名称”，点击“查询”，可查询安全手册信息；对已有安全手册信息可进行“编辑”、“删除”操作。</w:t>
      </w:r>
    </w:p>
    <w:p>
      <w:pPr>
        <w:pStyle w:val="2"/>
        <w:ind w:left="0" w:leftChars="0" w:firstLine="480"/>
      </w:pPr>
      <w:r>
        <w:rPr>
          <w:rFonts w:hint="eastAsia"/>
        </w:rPr>
        <w:t>点击右上方的“添加手册”，进入安全手册管理页面。</w:t>
      </w:r>
    </w:p>
    <w:p>
      <w:pPr>
        <w:pStyle w:val="2"/>
        <w:spacing w:after="0"/>
        <w:ind w:left="0" w:leftChars="0" w:firstLine="0" w:firstLineChars="0"/>
        <w:jc w:val="center"/>
        <w:rPr>
          <w:rFonts w:ascii="楷体" w:hAnsi="楷体" w:eastAsia="楷体"/>
        </w:rPr>
      </w:pPr>
      <w:r>
        <w:drawing>
          <wp:inline distT="0" distB="0" distL="114300" distR="114300">
            <wp:extent cx="5159375" cy="2012950"/>
            <wp:effectExtent l="9525" t="9525" r="12700" b="1587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rcRect l="2167" t="9039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012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在安全手册管理页面，可编辑安全手册信息，并进行相关设置，此处的操作与</w:t>
      </w:r>
      <w:r>
        <w:rPr>
          <w:rFonts w:hint="eastAsia"/>
          <w:b/>
        </w:rPr>
        <w:t>4</w:t>
      </w:r>
      <w:r>
        <w:rPr>
          <w:b/>
        </w:rPr>
        <w:t>.1</w:t>
      </w:r>
      <w:r>
        <w:rPr>
          <w:rFonts w:hint="eastAsia"/>
          <w:b/>
        </w:rPr>
        <w:t>安全知识</w:t>
      </w:r>
      <w:r>
        <w:rPr>
          <w:rFonts w:hint="eastAsia"/>
        </w:rPr>
        <w:t>类似。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上传封面用于前台展示使用，对于已上传的封面，点击该封面右上角的“</w:t>
      </w:r>
      <w:r>
        <w:drawing>
          <wp:inline distT="0" distB="0" distL="0" distR="0">
            <wp:extent cx="100965" cy="100965"/>
            <wp:effectExtent l="0" t="0" r="13335" b="1333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765" cy="1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”，即可将其删除。</w:t>
      </w:r>
    </w:p>
    <w:p>
      <w:pPr>
        <w:pStyle w:val="2"/>
        <w:spacing w:after="0"/>
        <w:ind w:left="0" w:leftChars="0" w:firstLine="0" w:firstLine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3032125</wp:posOffset>
                </wp:positionV>
                <wp:extent cx="19050" cy="1343025"/>
                <wp:effectExtent l="68580" t="0" r="83820" b="952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75430" y="7362190"/>
                          <a:ext cx="19050" cy="1343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9.4pt;margin-top:238.75pt;height:105.75pt;width:1.5pt;z-index:251662336;mso-width-relative:page;mso-height-relative:page;" filled="f" stroked="t" coordsize="21600,21600" o:gfxdata="UEsDBAoAAAAAAIdO4kAAAAAAAAAAAAAAAAAEAAAAZHJzL1BLAwQUAAAACACHTuJADKm5ENsAAAAL&#10;AQAADwAAAGRycy9kb3ducmV2LnhtbE2PzU7DMBCE70i8g7VIXBC1U5o0hDgVArWXngjl7iRLEjVe&#10;R7H7Q5+e5VRuu7OjmW/z1dkO4oiT7x1piGYKBFLtmp5aDbvP9WMKwgdDjRkcoYYf9LAqbm9ykzXu&#10;RB94LEMrOIR8ZjR0IYyZlL7u0Bo/cyMS377dZE3gdWplM5kTh9tBzpVKpDU9cUNnRnzrsN6XB6th&#10;s7ns19uH13j+hGFbukp9vV92Wt/fReoFRMBzuJrhD5/RoWCmyh2o8WLQsIhTRg88LJcxCHYskoiV&#10;SkOSPiuQRS7//1D8AlBLAwQUAAAACACHTuJA6xjVux8CAAAHBAAADgAAAGRycy9lMm9Eb2MueG1s&#10;rVPNbtNAEL4j8Q6rvRM7SdM2Vp0eGsIFQSXgASbrtb3S/ml2GycvwQsgcQJOwKl3ngbKYzBrmxbK&#10;pQdycGbn55v5vp09O98bzXYSg3K25NNJzpm0wlXKNiV/83rz5JSzEMFWoJ2VJT/IwM9Xjx+ddb6Q&#10;M9c6XUlkBGJD0fmStzH6IsuCaKWBMHFeWgrWDg1EOmKTVQgdoRudzfL8OOscVh6dkCGQdz0E+YiI&#10;DwF0da2EXDtxZaSNAypKDZEohVb5wFf9tHUtRXxZ10FGpktOTGP/pSZkb9M3W51B0SD4VolxBHjI&#10;CPc4GVCWmt5CrSECu0L1D5RRAl1wdZwIZ7KBSK8IsZjm97R51YKXPReSOvhb0cP/gxUvdpfIVFXy&#10;JWcWDF34zbvrH28/3nz98v3D9c9v75P9+RNbJqk6HwqquLCXOJ6Cv8TEe1+jSf/EiO1LfpSfLI7m&#10;JPKh5Cfz49l0OUot95EJSiDHgsKC4tM5Zc4WCT+7A/IY4jPpDEtGyUNEUE0bL5y1dKkOp73csHse&#10;4lD4uyBNYd1GaU1+KLRlXcnnp9M8tQNa2JoWhUzjiXSwDWegG3oJImIPGZxWVSpP1QGb7YVGtgPa&#10;n80mp984519pqfcaQjvk9aGUBoVRkR6LVqbkp6l4VKGVUD21FYsHT4JbemdDegSl7/yA6Lqxnbak&#10;TpJ/EDxZW1cd+nvo/bQfvX7jLqcF/PPcV9+939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Km5&#10;ENsAAAALAQAADwAAAAAAAAABACAAAAAiAAAAZHJzL2Rvd25yZXYueG1sUEsBAhQAFAAAAAgAh07i&#10;QOsY1bsfAgAABwQAAA4AAAAAAAAAAQAgAAAAKgEAAGRycy9lMm9Eb2MueG1sUEsFBgAAAAAGAAYA&#10;WQEAALs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121910" cy="3704590"/>
            <wp:effectExtent l="9525" t="9525" r="12065" b="1968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3"/>
                    <a:srcRect l="2889" t="4730" b="29564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70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5121910" cy="1409065"/>
            <wp:effectExtent l="9525" t="9525" r="1206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rcRect l="2889" t="75008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1409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3" w:name="_Toc18076"/>
      <w:r>
        <w:rPr>
          <w:rFonts w:hint="eastAsia"/>
        </w:rPr>
        <w:t>安全标识</w:t>
      </w:r>
      <w:bookmarkEnd w:id="13"/>
    </w:p>
    <w:p>
      <w:pPr>
        <w:ind w:firstLine="480"/>
        <w:rPr>
          <w:rFonts w:hint="eastAsia"/>
        </w:rPr>
      </w:pPr>
      <w:r>
        <w:rPr>
          <w:rFonts w:hint="eastAsia"/>
        </w:rPr>
        <w:t>点击左侧菜单“安全标识”，在此模块的页面左侧可管理“安全标识分类”，右侧可管理各分类下的安全标识。</w:t>
      </w:r>
    </w:p>
    <w:p>
      <w:pPr>
        <w:ind w:firstLine="480"/>
        <w:rPr>
          <w:b/>
        </w:rPr>
      </w:pPr>
      <w:r>
        <w:rPr>
          <w:rFonts w:hint="eastAsia"/>
        </w:rPr>
        <w:t>点击左侧安全标识分类如“警示标识”，右侧列表将会展示属于“警示标识”的安全标识。</w:t>
      </w:r>
      <w:r>
        <w:rPr>
          <w:rFonts w:hint="eastAsia"/>
        </w:rPr>
        <w:tab/>
      </w:r>
    </w:p>
    <w:p>
      <w:pPr>
        <w:pStyle w:val="2"/>
        <w:ind w:left="0" w:leftChars="0" w:firstLine="0" w:firstLineChars="0"/>
        <w:jc w:val="center"/>
        <w:rPr>
          <w:rFonts w:ascii="楷体" w:hAnsi="楷体" w:eastAsia="楷体"/>
        </w:rPr>
      </w:pPr>
      <w:r>
        <w:drawing>
          <wp:inline distT="0" distB="0" distL="0" distR="0">
            <wp:extent cx="5131435" cy="2104390"/>
            <wp:effectExtent l="9525" t="9525" r="21590" b="1968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4"/>
                    <a:srcRect l="2709" t="9799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104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页面左侧，安全标识分类管理。点击“</w:t>
      </w:r>
      <w:r>
        <w:drawing>
          <wp:inline distT="0" distB="0" distL="0" distR="0">
            <wp:extent cx="128905" cy="122555"/>
            <wp:effectExtent l="0" t="0" r="4445" b="1079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497" cy="1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弹出弹窗，可编辑安全标识分类，并进行相关的设置。为每一类安全标识，设置一类知识标签。安全标识分类默认在前台显示，若管理员觉得有些安全标识分类不用给学生进行查看学习，那么可以将“是否显示”设置为否，这时后台数据会保留，但是学生看不到这类安全标识相关的数据。</w:t>
      </w:r>
    </w:p>
    <w:p>
      <w:pPr>
        <w:pStyle w:val="2"/>
        <w:ind w:left="0" w:leftChars="0" w:firstLine="480"/>
      </w:pPr>
      <w:r>
        <w:rPr>
          <w:rFonts w:hint="eastAsia"/>
        </w:rPr>
        <w:t>可设置本类安全标识是否必学；设置相应的学习要求，若选择“时长”，那么还需要设定本类安全标识要求学生学习的时长，如设定了1</w:t>
      </w:r>
      <w:r>
        <w:t>20</w:t>
      </w:r>
      <w:r>
        <w:rPr>
          <w:rFonts w:hint="eastAsia"/>
        </w:rPr>
        <w:t>秒，那么学生在考核活动中学习本类安全标识时，学习的时长必须满1</w:t>
      </w:r>
      <w:r>
        <w:t>20</w:t>
      </w:r>
      <w:r>
        <w:rPr>
          <w:rFonts w:hint="eastAsia"/>
        </w:rPr>
        <w:t>秒才算完成学习。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点击“添加安全标识分类”，弹出弹窗，可添加安全标识分类，填写内容与编辑安全标识分类一样。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3199765"/>
            <wp:effectExtent l="9525" t="9525" r="12065" b="1016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jc w:val="left"/>
      </w:pPr>
      <w:r>
        <w:rPr>
          <w:rFonts w:hint="eastAsia"/>
        </w:rPr>
        <w:t>页面右侧，管理每一分类下的安全标识。输入标识名称，点击“查询”可查询安全标识信息；可对已有的安全标识进行“编辑”、“删除”操作。点击“添加安全标识”，进入安全标识管理页面。</w:t>
      </w:r>
    </w:p>
    <w:p>
      <w:pPr>
        <w:pStyle w:val="2"/>
        <w:spacing w:after="0"/>
        <w:ind w:left="0" w:leftChars="0" w:firstLine="0" w:firstLineChars="0"/>
        <w:jc w:val="center"/>
        <w:rPr>
          <w:rFonts w:ascii="楷体" w:hAnsi="楷体" w:eastAsia="楷体"/>
        </w:rPr>
      </w:pPr>
      <w:r>
        <w:drawing>
          <wp:inline distT="0" distB="0" distL="0" distR="0">
            <wp:extent cx="5274310" cy="3744595"/>
            <wp:effectExtent l="9525" t="9525" r="12065" b="177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4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jc w:val="left"/>
        <w:rPr>
          <w:rFonts w:hint="eastAsia"/>
        </w:rPr>
      </w:pPr>
      <w:r>
        <w:rPr>
          <w:rFonts w:hint="eastAsia"/>
        </w:rPr>
        <w:t>安全标识管理页面，可编辑安全标识信息。百科词条为多选项，一条安全知识可设置多个词条。</w:t>
      </w:r>
    </w:p>
    <w:p>
      <w:pPr>
        <w:pStyle w:val="2"/>
        <w:spacing w:after="0"/>
        <w:ind w:left="0" w:leftChars="0" w:firstLine="480"/>
        <w:jc w:val="left"/>
        <w:rPr>
          <w:rFonts w:hint="eastAsia"/>
        </w:rPr>
      </w:pPr>
      <w:r>
        <w:rPr>
          <w:rFonts w:hint="eastAsia"/>
        </w:rPr>
        <w:t>标识分类目前包含五个选择项，分别为其他标识、指令标识、警示标识、禁止标识和常用危化品标识，从中选择一个作为安全标识所属分类。</w:t>
      </w:r>
    </w:p>
    <w:p>
      <w:pPr>
        <w:pStyle w:val="2"/>
        <w:spacing w:after="0"/>
        <w:ind w:left="0" w:leftChars="0" w:firstLine="480"/>
        <w:jc w:val="left"/>
      </w:pPr>
      <w:r>
        <w:rPr>
          <w:rFonts w:hint="eastAsia"/>
        </w:rPr>
        <w:t>系统默认对新增的安全标识在前台页面显示，可选择“否”使其不显示在前台页面。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上传封面即安全标识用于前台展示使用，对于已上传的封面，点击该封面右上角的“</w:t>
      </w:r>
      <w:r>
        <w:drawing>
          <wp:inline distT="0" distB="0" distL="0" distR="0">
            <wp:extent cx="95250" cy="9525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118" cy="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”，即可将其删除。</w:t>
      </w:r>
    </w:p>
    <w:p>
      <w:pPr>
        <w:pStyle w:val="2"/>
        <w:spacing w:after="0"/>
        <w:ind w:left="0" w:leftChars="0" w:firstLine="0" w:firstLineChars="0"/>
        <w:jc w:val="left"/>
      </w:pPr>
      <w:r>
        <w:drawing>
          <wp:inline distT="0" distB="0" distL="0" distR="0">
            <wp:extent cx="5140960" cy="3104515"/>
            <wp:effectExtent l="9525" t="9525" r="12065" b="1016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8"/>
                    <a:srcRect l="2528" t="7650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104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4" w:name="_Toc25326"/>
      <w:r>
        <w:rPr>
          <w:rFonts w:hint="eastAsia"/>
        </w:rPr>
        <w:t>安全视频</w:t>
      </w:r>
      <w:bookmarkEnd w:id="14"/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点击左侧菜单“安全视频”，可进行安全视频管理。在搜索框“输入视频名称”，点击“查询”，可查询安全视频信息；对已有安全视频可进行“编辑”、“删除”操作。</w:t>
      </w:r>
    </w:p>
    <w:p>
      <w:pPr>
        <w:pStyle w:val="2"/>
        <w:ind w:left="0" w:leftChars="0" w:firstLine="480"/>
      </w:pPr>
      <w:r>
        <w:rPr>
          <w:rFonts w:hint="eastAsia"/>
        </w:rPr>
        <w:t>点击右上方的“添加视频”，进入安全视频管理页面。</w:t>
      </w:r>
    </w:p>
    <w:p>
      <w:pPr>
        <w:pStyle w:val="2"/>
        <w:spacing w:after="0"/>
        <w:ind w:left="0" w:leftChars="0" w:firstLine="0" w:firstLineChars="0"/>
        <w:jc w:val="center"/>
        <w:rPr>
          <w:rFonts w:ascii="楷体" w:hAnsi="楷体" w:eastAsia="楷体"/>
        </w:rPr>
      </w:pPr>
      <w:r>
        <w:drawing>
          <wp:inline distT="0" distB="0" distL="0" distR="0">
            <wp:extent cx="5140960" cy="1528445"/>
            <wp:effectExtent l="9525" t="9525" r="12065" b="2413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9"/>
                    <a:srcRect l="2528" t="14857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1528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在安全视频管理页面，可编辑安全视频信息，并进行相关设置，此处的操作与</w:t>
      </w:r>
      <w:r>
        <w:rPr>
          <w:rFonts w:hint="eastAsia"/>
          <w:b/>
        </w:rPr>
        <w:t>4</w:t>
      </w:r>
      <w:r>
        <w:rPr>
          <w:b/>
        </w:rPr>
        <w:t>.1</w:t>
      </w:r>
      <w:r>
        <w:rPr>
          <w:rFonts w:hint="eastAsia"/>
          <w:b/>
        </w:rPr>
        <w:t>安全知识</w:t>
      </w:r>
      <w:r>
        <w:rPr>
          <w:rFonts w:hint="eastAsia"/>
        </w:rPr>
        <w:t>类似。</w:t>
      </w:r>
    </w:p>
    <w:p>
      <w:pPr>
        <w:pStyle w:val="2"/>
        <w:spacing w:after="0"/>
        <w:ind w:left="0" w:leftChars="0" w:firstLine="0" w:firstLineChars="0"/>
        <w:jc w:val="center"/>
        <w:rPr>
          <w:rFonts w:ascii="楷体" w:hAnsi="楷体" w:eastAsia="楷体"/>
        </w:rPr>
      </w:pPr>
      <w:r>
        <w:drawing>
          <wp:inline distT="0" distB="0" distL="0" distR="0">
            <wp:extent cx="5150485" cy="2699385"/>
            <wp:effectExtent l="9525" t="9525" r="21590" b="1524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0"/>
                    <a:srcRect l="2348" t="8403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2699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5" w:name="_Toc14904"/>
      <w:r>
        <w:rPr>
          <w:rFonts w:hint="eastAsia"/>
        </w:rPr>
        <w:t>M</w:t>
      </w:r>
      <w:r>
        <w:t>SDS</w:t>
      </w:r>
      <w:bookmarkEnd w:id="15"/>
    </w:p>
    <w:p>
      <w:pPr>
        <w:pStyle w:val="2"/>
        <w:ind w:left="0" w:leftChars="0" w:firstLine="480"/>
      </w:pPr>
      <w:r>
        <w:rPr>
          <w:rFonts w:hint="eastAsia"/>
        </w:rPr>
        <w:t>点击左侧菜单“M</w:t>
      </w:r>
      <w:r>
        <w:t>SDS</w:t>
      </w:r>
      <w:r>
        <w:rPr>
          <w:rFonts w:hint="eastAsia"/>
        </w:rPr>
        <w:t>”，进行M</w:t>
      </w:r>
      <w:r>
        <w:t>SDS</w:t>
      </w:r>
      <w:r>
        <w:rPr>
          <w:rFonts w:hint="eastAsia"/>
        </w:rPr>
        <w:t>管理。在搜索框“输入试剂名称”可查询化学品信息；对已有化学品信息可进行“msds查看”、“编辑”、“删除”操作。</w:t>
      </w:r>
      <w:r>
        <w:t xml:space="preserve"> 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5140960" cy="2291715"/>
            <wp:effectExtent l="9525" t="9525" r="12065" b="2286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1"/>
                    <a:srcRect l="2528" t="9639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291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Chars="0"/>
        <w:rPr>
          <w:rFonts w:hint="eastAsia"/>
        </w:rPr>
      </w:pPr>
      <w:r>
        <w:rPr>
          <w:rFonts w:hint="eastAsia"/>
        </w:rPr>
        <w:t>在列表中选择任一化学品如“苯乙酸”，点击其右侧“msds查看”可查看该化学品的</w:t>
      </w:r>
      <w:r>
        <w:t>MSDS</w:t>
      </w:r>
      <w:r>
        <w:rPr>
          <w:rFonts w:hint="eastAsia"/>
        </w:rPr>
        <w:t>信息。</w:t>
      </w:r>
    </w:p>
    <w:p>
      <w:pPr>
        <w:pStyle w:val="2"/>
        <w:ind w:left="0" w:leftChars="0" w:firstLineChars="0"/>
      </w:pPr>
      <w:r>
        <w:rPr>
          <w:rFonts w:hint="eastAsia"/>
        </w:rPr>
        <w:t>页面左上方与最底端均有“返回”按钮，点击即可返回M</w:t>
      </w:r>
      <w:r>
        <w:t>SDS</w:t>
      </w:r>
      <w:r>
        <w:rPr>
          <w:rFonts w:hint="eastAsia"/>
        </w:rPr>
        <w:t>页面。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5154295" cy="2969895"/>
            <wp:effectExtent l="9525" t="9525" r="1778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rcRect l="2169" t="7697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969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Chars="0"/>
        <w:rPr>
          <w:rFonts w:hint="eastAsia"/>
        </w:rPr>
      </w:pPr>
      <w:r>
        <w:rPr>
          <w:rFonts w:hint="eastAsia"/>
        </w:rPr>
        <w:t>点击M</w:t>
      </w:r>
      <w:r>
        <w:t>SDS</w:t>
      </w:r>
      <w:r>
        <w:rPr>
          <w:rFonts w:hint="eastAsia"/>
        </w:rPr>
        <w:t>页面右上方的“添加试剂”，进入M</w:t>
      </w:r>
      <w:r>
        <w:t>SDS</w:t>
      </w:r>
      <w:r>
        <w:rPr>
          <w:rFonts w:hint="eastAsia"/>
        </w:rPr>
        <w:t>管理页面，可编辑试剂的相关信息。</w:t>
      </w:r>
    </w:p>
    <w:p>
      <w:pPr>
        <w:pStyle w:val="2"/>
        <w:ind w:left="0" w:leftChars="0" w:firstLineChars="0"/>
        <w:rPr>
          <w:rFonts w:hint="eastAsia"/>
        </w:rPr>
      </w:pPr>
      <w:r>
        <w:rPr>
          <w:rFonts w:hint="eastAsia"/>
        </w:rPr>
        <w:t>管控类型为选择项，选项包括普通化学品、易制毒、易制爆、剧毒和精神麻醉，为添加的试剂选择所属管控类型。</w:t>
      </w:r>
    </w:p>
    <w:p>
      <w:pPr>
        <w:pStyle w:val="2"/>
        <w:spacing w:after="0"/>
        <w:ind w:left="0" w:leftChars="0" w:firstLine="0" w:firstLine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634365</wp:posOffset>
                </wp:positionV>
                <wp:extent cx="9525" cy="419100"/>
                <wp:effectExtent l="79375" t="635" r="82550" b="1841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65955" y="6069330"/>
                          <a:ext cx="9525" cy="419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2.4pt;margin-top:49.95pt;height:33pt;width:0.75pt;z-index:251663360;mso-width-relative:page;mso-height-relative:page;" filled="f" stroked="t" coordsize="21600,21600" o:gfxdata="UEsDBAoAAAAAAIdO4kAAAAAAAAAAAAAAAAAEAAAAZHJzL1BLAwQUAAAACACHTuJAijgbTdoAAAAK&#10;AQAADwAAAGRycy9kb3ducmV2LnhtbE2Py07DMBBF90j8gzVIbBB1mpKoCXEqBGo3XRHK3omnSdR4&#10;HMXug349w4ouR/fo3jPF6mIHccLJ944UzGcRCKTGmZ5aBbuv9fMShA+ajB4coYIf9LAq7+8KnRt3&#10;pk88VaEVXEI+1wq6EMZcSt90aLWfuRGJs72brA58Tq00kz5zuR1kHEWptLonXuj0iO8dNofqaBVs&#10;NtfDevv0lsQLDNvK1dH3x3Wn1OPDPHoFEfAS/mH402d1KNmpdkcyXgwKkviF1YOCLMtAMJDE6QJE&#10;zWSaZCDLQt6+UP4CUEsDBBQAAAAIAIdO4kAEDo7aFwIAAO8DAAAOAAAAZHJzL2Uyb0RvYy54bWyt&#10;U82O0zAQviPxDpbvNOmv2qrpHlrKBUEl2AdwHSex5D+NvU37ErwAEifgBJz2ztOwy2MwdsIuLJc9&#10;kEMyzni+me/z59XFSStyFOClNQUdDnJKhOG2lKYu6OXb3bM5JT4wUzJljSjoWXh6sX76ZNW6pRjZ&#10;xqpSAEEQ45etK2gTgltmmeeN0MwPrBMGk5UFzQIuoc5KYC2ia5WN8nyWtRZKB5YL7/HvtkvSHhEe&#10;A2irSnKxtfxKCxM6VBCKBaTkG+k8Xadpq0rw8LqqvAhEFRSZhvTGJhgf4jtbr9iyBuYayfsR2GNG&#10;eMBJM2mw6R3UlgVGrkD+A6UlB+ttFQbc6qwjkhRBFsP8gTZvGuZE4oJSe3cnuv9/sPzVcQ9EluiE&#10;ESWGaTzx2/fXN+8+3X77+uPj9c/vH2L85TPBPIrVOr/Emo3ZQ7/ybg+R+akCHb/IiZwKOpnMpovp&#10;lJJzQWf5bDEe92KLUyAcNyymI8xyTE+Gi2Gestk9jAMfXgirSQwK6gMwWTdhY43BQ7UwTHKz40sf&#10;cBAs/F0QZzB2J5VKZ6sMaQs6nscOhDM0bIVGwVA7JO1NTQlTNd4EHiBBeqtkGcsjkIf6sFFAjgz9&#10;s9vl+EQVsN1f22LvLfNNty+lOmdpGfCyKKkLOo/FvQaBSfXclCScHerNAGzbwyqD6FHkTtYYHWx5&#10;Tmqn/+iD1L/3bDTan+tUfX9P17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ijgbTdoAAAAKAQAA&#10;DwAAAAAAAAABACAAAAAiAAAAZHJzL2Rvd25yZXYueG1sUEsBAhQAFAAAAAgAh07iQAQOjtoXAgAA&#10;7wMAAA4AAAAAAAAAAQAgAAAAKQEAAGRycy9lMm9Eb2MueG1sUEsFBgAAAAAGAAYAWQEAALIFAAAA&#10;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140960" cy="655320"/>
            <wp:effectExtent l="9525" t="9525" r="12065" b="2095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43"/>
                    <a:srcRect l="2528" t="8443" b="70044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655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5140960" cy="1864995"/>
            <wp:effectExtent l="9525" t="9525" r="1206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rcRect l="2528" t="38774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1864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6" w:name="_Toc30920"/>
      <w:r>
        <w:rPr>
          <w:rFonts w:hint="eastAsia"/>
        </w:rPr>
        <w:t>事故案例</w:t>
      </w:r>
      <w:bookmarkEnd w:id="16"/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点击左侧菜单“事故案例”，可进行事故案例管理。在搜索框“输入案例名称”，点击“查询”，可查询事故案例信息；对已有事故案例可进行“编辑”、“删除”操作。</w:t>
      </w:r>
    </w:p>
    <w:p>
      <w:pPr>
        <w:pStyle w:val="2"/>
        <w:ind w:left="0" w:leftChars="0" w:firstLine="480"/>
      </w:pPr>
      <w:r>
        <w:rPr>
          <w:rFonts w:hint="eastAsia"/>
        </w:rPr>
        <w:t>点击右上方的“添加案例”，进入事故案例管理页面。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5121910" cy="2296160"/>
            <wp:effectExtent l="9525" t="9525" r="12065" b="1841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44"/>
                    <a:srcRect l="2889" t="10072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2961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在事故案例管理页面，可编辑事故案例信息，并进行相关设置，此处的操作与</w:t>
      </w:r>
      <w:r>
        <w:rPr>
          <w:rFonts w:hint="eastAsia"/>
          <w:b/>
        </w:rPr>
        <w:t>4</w:t>
      </w:r>
      <w:r>
        <w:rPr>
          <w:b/>
        </w:rPr>
        <w:t>.1</w:t>
      </w:r>
      <w:r>
        <w:rPr>
          <w:rFonts w:hint="eastAsia"/>
          <w:b/>
        </w:rPr>
        <w:t>安全知识</w:t>
      </w:r>
      <w:r>
        <w:rPr>
          <w:rFonts w:hint="eastAsia"/>
        </w:rPr>
        <w:t>类似。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上传封面即安全标识用于前台展示使用，对于已上传的封面，点击该封面右上角的“</w:t>
      </w:r>
      <w:r>
        <w:drawing>
          <wp:inline distT="0" distB="0" distL="0" distR="0">
            <wp:extent cx="95250" cy="9525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118" cy="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”，即可将其删除。</w:t>
      </w:r>
    </w:p>
    <w:p>
      <w:pPr>
        <w:pStyle w:val="2"/>
        <w:spacing w:after="0"/>
        <w:ind w:left="0" w:leftChars="0" w:firstLine="0" w:firstLine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ragraph">
                  <wp:posOffset>3369945</wp:posOffset>
                </wp:positionV>
                <wp:extent cx="9525" cy="990600"/>
                <wp:effectExtent l="77470" t="0" r="84455" b="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61005" y="8252460"/>
                          <a:ext cx="9525" cy="990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3.9pt;margin-top:265.35pt;height:78pt;width:0.75pt;z-index:251664384;mso-width-relative:page;mso-height-relative:page;" filled="f" stroked="t" coordsize="21600,21600" o:gfxdata="UEsDBAoAAAAAAIdO4kAAAAAAAAAAAAAAAAAEAAAAZHJzL1BLAwQUAAAACACHTuJAGIGHwtoAAAAL&#10;AQAADwAAAGRycy9kb3ducmV2LnhtbE2PT0+DQBTE7yZ+h80z8WLsbiEFRB6N0bSXnsR6X+AJpOxb&#10;wm7/2E/vetLjZCYzvynWFzOKE81usIywXCgQxI1tB+4Q9h+bxwyE85pbPVomhG9ysC5vbwqdt/bM&#10;73SqfCdCCbtcI/TeT7mUrunJaLewE3HwvuxstA9y7mQ763MoN6OMlEqk0QOHhV5P9NpTc6iOBmG7&#10;vR42u4eXVRST31W2Vp9v1z3i/d1SPYPwdPF/YfjFD+hQBqbaHrl1YkSIsjSge4RVrFIQIRFlTzGI&#10;GiHJkhRkWcj/H8ofUEsDBBQAAAAIAIdO4kDkl6RGFgIAAO8DAAAOAAAAZHJzL2Uyb0RvYy54bWyt&#10;U82O0zAQviPxDpbvNGmgVRs13UNLuSCoBDyA6ziJJf9p7G3al+AFkDgBJ+C0d54Glsdg7IRdWC57&#10;IIdknPF8M9/nz6uLk1bkKMBLayo6neSUCMNtLU1b0Tevd48WlPjATM2UNaKiZ+Hpxfrhg1XvSlHY&#10;zqpaAEEQ48veVbQLwZVZ5nknNPMT64TBZGNBs4BLaLMaWI/oWmVFns+z3kLtwHLhPf7dDkk6IsJ9&#10;AG3TSC62ll9qYcKACkKxgJR8J52n6zRt0wgeXjaNF4GoiiLTkN7YBONDfGfrFStbYK6TfByB3WeE&#10;O5w0kwab3kBtWWDkEuQ/UFpysN42YcKtzgYiSRFkMc3vaPOqY04kLii1dzei+/8Hy18c90BkjU6Y&#10;U2KYxhO/fnf14+3H669fvn+4+vntfYw/fyKYR7F650us2Zg9jCvv9hCZnxrQ8YucyKmixXI+zfMZ&#10;JeeKLopZ8WQ+ii1OgXDcsJwVmOWYXi7zeZ6y2S2MAx+eCatJDCrqAzDZdmFjjcFDtTBNcrPjcx9w&#10;ECz8XRBnMHYnlUpnqwzpK/p4gcNgN4aGbdAoGGqHpL1pKWGqxZvAAyRIb5WsY3kE8tAeNgrIkaF/&#10;drscn6gCtvtrW+y9Zb4b9qXU4CwtA14WJTWKEItHDQKT6qmpSTg71JsB2H6EVQbRo8iDrDE62Pqc&#10;1E7/0Qep/+jZaLQ/16n69p6u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YgYfC2gAAAAsBAAAP&#10;AAAAAAAAAAEAIAAAACIAAABkcnMvZG93bnJldi54bWxQSwECFAAUAAAACACHTuJA5JekRhYCAADv&#10;AwAADgAAAAAAAAABACAAAAApAQAAZHJzL2Uyb0RvYy54bWxQSwUGAAAAAAYABgBZAQAAs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140960" cy="3669665"/>
            <wp:effectExtent l="9525" t="9525" r="12065" b="1651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45"/>
                    <a:srcRect l="2528" t="4734" b="25124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66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5140960" cy="1069340"/>
            <wp:effectExtent l="9525" t="9525" r="12065" b="260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rcRect l="2528" t="79561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1069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21566"/>
      <w:r>
        <w:rPr>
          <w:rFonts w:hint="eastAsia"/>
        </w:rPr>
        <w:t>题库管理</w:t>
      </w:r>
      <w:bookmarkEnd w:id="17"/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不同层级的单位可创建并管理本单位所需使用的题库，各单位管理人员只能对本单位创建的题库进行编辑与管理；</w:t>
      </w:r>
    </w:p>
    <w:p>
      <w:pPr>
        <w:pStyle w:val="2"/>
        <w:ind w:left="0" w:leftChars="0" w:firstLine="420" w:firstLineChars="0"/>
        <w:rPr>
          <w:color w:val="FF0000"/>
        </w:rPr>
      </w:pPr>
      <w:r>
        <w:rPr>
          <w:rFonts w:hint="eastAsia"/>
          <w:color w:val="FF0000"/>
          <w:lang w:val="en-US" w:eastAsia="zh-CN"/>
        </w:rPr>
        <w:t>对于其他单位的题库，只能进行查看或复制试题操作，不能编辑、更改其他单位的题库和试题信息。</w:t>
      </w:r>
    </w:p>
    <w:p>
      <w:pPr>
        <w:ind w:firstLine="480"/>
        <w:rPr>
          <w:rFonts w:hint="eastAsia"/>
        </w:rPr>
      </w:pPr>
      <w:r>
        <w:rPr>
          <w:rFonts w:hint="eastAsia"/>
        </w:rPr>
        <w:t>点击左侧菜单“题库管理”，可进行题库管理。在此模块的页面左侧可管理“题库</w:t>
      </w:r>
      <w:r>
        <w:rPr>
          <w:rFonts w:hint="eastAsia"/>
          <w:lang w:val="en-US" w:eastAsia="zh-CN"/>
        </w:rPr>
        <w:t>列表</w:t>
      </w:r>
      <w:r>
        <w:rPr>
          <w:rFonts w:hint="eastAsia"/>
        </w:rPr>
        <w:t>”，右侧可管理各</w:t>
      </w:r>
      <w:r>
        <w:rPr>
          <w:rFonts w:hint="eastAsia"/>
          <w:lang w:val="en-US" w:eastAsia="zh-CN"/>
        </w:rPr>
        <w:t>个题库</w:t>
      </w:r>
      <w:r>
        <w:rPr>
          <w:rFonts w:hint="eastAsia"/>
        </w:rPr>
        <w:t>下的</w:t>
      </w:r>
      <w:r>
        <w:rPr>
          <w:rFonts w:hint="eastAsia"/>
          <w:lang w:val="en-US" w:eastAsia="zh-CN"/>
        </w:rPr>
        <w:t>试题</w:t>
      </w:r>
      <w:r>
        <w:rPr>
          <w:rFonts w:hint="eastAsia"/>
        </w:rPr>
        <w:t>信息。</w:t>
      </w:r>
    </w:p>
    <w:p>
      <w:pPr>
        <w:ind w:firstLine="480"/>
        <w:rPr>
          <w:rFonts w:hint="eastAsia"/>
        </w:rPr>
      </w:pPr>
      <w:r>
        <w:rPr>
          <w:rFonts w:hint="eastAsia"/>
        </w:rPr>
        <w:t>点击左侧题库类型如“</w:t>
      </w:r>
      <w:r>
        <w:rPr>
          <w:rFonts w:hint="eastAsia"/>
          <w:lang w:val="en-US" w:eastAsia="zh-CN"/>
        </w:rPr>
        <w:t>机械建筑安全</w:t>
      </w:r>
      <w:r>
        <w:rPr>
          <w:rFonts w:hint="eastAsia"/>
        </w:rPr>
        <w:t>题库”，右侧列表将会展示属于“</w:t>
      </w:r>
      <w:r>
        <w:rPr>
          <w:rFonts w:hint="eastAsia"/>
          <w:lang w:val="en-US" w:eastAsia="zh-CN"/>
        </w:rPr>
        <w:t>机械建筑</w:t>
      </w:r>
      <w:r>
        <w:rPr>
          <w:rFonts w:hint="eastAsia"/>
        </w:rPr>
        <w:t>安全题库”的</w:t>
      </w:r>
      <w:r>
        <w:rPr>
          <w:rFonts w:hint="eastAsia"/>
          <w:lang w:val="en-US" w:eastAsia="zh-CN"/>
        </w:rPr>
        <w:t>试题</w:t>
      </w:r>
      <w:r>
        <w:rPr>
          <w:rFonts w:hint="eastAsia"/>
        </w:rPr>
        <w:t>信息。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2245" cy="2256790"/>
            <wp:effectExtent l="9525" t="9525" r="24130" b="19685"/>
            <wp:docPr id="1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73040" cy="1679575"/>
            <wp:effectExtent l="9525" t="9525" r="13335" b="25400"/>
            <wp:docPr id="1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8" w:name="_Toc3870"/>
      <w:r>
        <w:rPr>
          <w:rFonts w:hint="eastAsia"/>
        </w:rPr>
        <w:t>题库管理</w:t>
      </w:r>
      <w:bookmarkEnd w:id="18"/>
    </w:p>
    <w:p>
      <w:pPr>
        <w:pStyle w:val="2"/>
        <w:spacing w:after="0"/>
        <w:ind w:left="0" w:leftChars="0" w:firstLine="480"/>
        <w:rPr>
          <w:rFonts w:hint="eastAsia"/>
          <w:lang w:eastAsia="zh-CN"/>
        </w:rPr>
      </w:pPr>
      <w:r>
        <w:rPr>
          <w:rFonts w:hint="eastAsia"/>
        </w:rPr>
        <w:t>页面左侧，题库类型管理。点击“</w:t>
      </w:r>
      <w:r>
        <w:drawing>
          <wp:inline distT="0" distB="0" distL="0" distR="0">
            <wp:extent cx="128905" cy="122555"/>
            <wp:effectExtent l="0" t="0" r="4445" b="1079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2497" cy="1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”，可编辑题库类型，编辑完成后点击“提交”，更改题库信息，点击“取消”</w:t>
      </w:r>
      <w:r>
        <w:rPr>
          <w:rFonts w:hint="eastAsia"/>
          <w:lang w:eastAsia="zh-CN"/>
        </w:rPr>
        <w:t>，</w:t>
      </w:r>
      <w:r>
        <w:rPr>
          <w:rFonts w:hint="eastAsia"/>
        </w:rPr>
        <w:t>取消修改</w:t>
      </w:r>
      <w:r>
        <w:rPr>
          <w:rFonts w:hint="eastAsia"/>
          <w:lang w:eastAsia="zh-CN"/>
        </w:rPr>
        <w:t>；</w:t>
      </w:r>
    </w:p>
    <w:p>
      <w:pPr>
        <w:pStyle w:val="2"/>
        <w:spacing w:after="0"/>
        <w:ind w:left="0" w:leftChars="0" w:firstLine="480"/>
        <w:rPr>
          <w:rFonts w:hint="eastAsia"/>
          <w:lang w:eastAsia="zh-CN"/>
        </w:rPr>
      </w:pPr>
      <w:r>
        <w:rPr>
          <w:rFonts w:hint="eastAsia"/>
        </w:rPr>
        <w:t>点击“</w:t>
      </w:r>
      <w:r>
        <w:drawing>
          <wp:inline distT="0" distB="0" distL="0" distR="0">
            <wp:extent cx="100965" cy="93980"/>
            <wp:effectExtent l="0" t="0" r="13335" b="127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689" cy="9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”新增子题库，可以编辑子题库名称、描述、状态等信息，编辑完成后点击“提交”，增加子题库，点击“取消”，取消新增</w:t>
      </w:r>
      <w:r>
        <w:rPr>
          <w:rFonts w:hint="eastAsia"/>
          <w:lang w:eastAsia="zh-CN"/>
        </w:rPr>
        <w:t>；</w:t>
      </w:r>
    </w:p>
    <w:p>
      <w:pPr>
        <w:pStyle w:val="2"/>
        <w:spacing w:after="0"/>
        <w:ind w:left="0" w:leftChars="0"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drawing>
          <wp:inline distT="0" distB="0" distL="114300" distR="114300">
            <wp:extent cx="133350" cy="171450"/>
            <wp:effectExtent l="0" t="0" r="0" b="0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”，可删除该题库。</w:t>
      </w:r>
    </w:p>
    <w:p>
      <w:pPr>
        <w:pStyle w:val="2"/>
        <w:spacing w:after="0"/>
        <w:ind w:left="0" w:leftChars="0"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在题库下添加子题库时，要求该题库下不能有试题，可以将属于该题库的试题全部移动到其他题库中，待添加子题库后再重新移动到子题库中。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4168140" cy="2714625"/>
            <wp:effectExtent l="9525" t="9525" r="13335" b="19050"/>
            <wp:docPr id="8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2714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jc w:val="left"/>
        <w:rPr>
          <w:rFonts w:hint="eastAsia"/>
        </w:rPr>
      </w:pPr>
      <w:r>
        <w:rPr>
          <w:rFonts w:hint="eastAsia"/>
        </w:rPr>
        <w:t>点击“新增题库”，进入添加题库页面。可以编辑题库的名称、描述、启用状态、前台显示、是否开放等信息。</w:t>
      </w:r>
    </w:p>
    <w:p>
      <w:pPr>
        <w:pStyle w:val="2"/>
        <w:spacing w:after="0"/>
        <w:ind w:left="0" w:leftChars="0" w:firstLine="480"/>
        <w:jc w:val="left"/>
        <w:rPr>
          <w:rFonts w:hint="eastAsia"/>
        </w:rPr>
      </w:pPr>
      <w:r>
        <w:rPr>
          <w:rFonts w:hint="eastAsia"/>
        </w:rPr>
        <w:t>系统默认题库的启用状态为“启用”，鼠标移到图标“</w:t>
      </w:r>
      <w:r>
        <w:drawing>
          <wp:inline distT="0" distB="0" distL="0" distR="0">
            <wp:extent cx="190500" cy="153035"/>
            <wp:effectExtent l="0" t="0" r="0" b="1841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7067" cy="1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”处，将会看到设置为“禁用”的说明，即“不启用的题库将不能从中抽题或接受考生学习”，请慎重选择。</w:t>
      </w:r>
    </w:p>
    <w:p>
      <w:pPr>
        <w:pStyle w:val="2"/>
        <w:spacing w:after="0"/>
        <w:ind w:left="0" w:leftChars="0" w:firstLine="480"/>
        <w:jc w:val="left"/>
        <w:rPr>
          <w:rFonts w:ascii="楷体" w:hAnsi="楷体" w:eastAsia="楷体"/>
        </w:rPr>
      </w:pPr>
      <w:r>
        <w:rPr>
          <w:rFonts w:hint="eastAsia"/>
        </w:rPr>
        <w:t>题库信息编辑完成后，点击“提交”即可。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4512945" cy="1666875"/>
            <wp:effectExtent l="9525" t="9525" r="11430" b="19050"/>
            <wp:docPr id="8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2"/>
                    <pic:cNvPicPr>
                      <a:picLocks noChangeAspect="1"/>
                    </pic:cNvPicPr>
                  </pic:nvPicPr>
                  <pic:blipFill>
                    <a:blip r:embed="rId52"/>
                    <a:srcRect l="14291" t="-575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在对题库中的试题进行管理前，可以点击题库列表左侧的“</w:t>
      </w:r>
      <w:r>
        <w:drawing>
          <wp:inline distT="0" distB="0" distL="114300" distR="114300">
            <wp:extent cx="219075" cy="190500"/>
            <wp:effectExtent l="0" t="0" r="9525" b="0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”，收起题库列表，以便能够更好地对该题库的试题进行编辑与管理。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4619625" cy="2654935"/>
            <wp:effectExtent l="9525" t="9525" r="19050" b="21590"/>
            <wp:docPr id="5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rcRect l="1229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654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9" w:name="_Toc32425"/>
      <w:r>
        <w:rPr>
          <w:rFonts w:hint="eastAsia"/>
        </w:rPr>
        <w:t>试题管理</w:t>
      </w:r>
      <w:bookmarkEnd w:id="19"/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页面右侧，管理每一类型下的题库试题信息。页面左上方的</w:t>
      </w:r>
      <w:r>
        <w:rPr>
          <w:rFonts w:hint="eastAsia"/>
          <w:lang w:val="en-US" w:eastAsia="zh-CN"/>
        </w:rPr>
        <w:t>橙色</w:t>
      </w:r>
      <w:r>
        <w:rPr>
          <w:rFonts w:hint="eastAsia"/>
        </w:rPr>
        <w:t>标签表示当前类型题库下的试题总数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若题库拥有多种分类的试题，则会分别展示各个题型的试题数量</w:t>
      </w:r>
      <w:r>
        <w:rPr>
          <w:rFonts w:hint="eastAsia"/>
        </w:rPr>
        <w:t>；</w:t>
      </w:r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可根据</w:t>
      </w:r>
      <w:r>
        <w:rPr>
          <w:rFonts w:hint="eastAsia"/>
          <w:lang w:eastAsia="zh-CN"/>
        </w:rPr>
        <w:t>试题</w:t>
      </w:r>
      <w:r>
        <w:rPr>
          <w:rFonts w:hint="eastAsia"/>
          <w:lang w:val="en-US" w:eastAsia="zh-CN"/>
        </w:rPr>
        <w:t>来源、</w:t>
      </w:r>
      <w:r>
        <w:rPr>
          <w:rFonts w:hint="eastAsia"/>
        </w:rPr>
        <w:t>类型与难度检索试题信息，</w:t>
      </w:r>
      <w:r>
        <w:rPr>
          <w:rFonts w:hint="eastAsia"/>
          <w:lang w:val="en-US" w:eastAsia="zh-CN"/>
        </w:rPr>
        <w:t>选择试题来源（引用学校题库、引用其他单位题库、自主维护），</w:t>
      </w:r>
      <w:r>
        <w:rPr>
          <w:rFonts w:hint="eastAsia"/>
        </w:rPr>
        <w:t>选择试题类型（判断、单选、多选），</w:t>
      </w:r>
      <w:r>
        <w:rPr>
          <w:rFonts w:hint="eastAsia"/>
          <w:lang w:val="en-US" w:eastAsia="zh-CN"/>
        </w:rPr>
        <w:t>选择试题难度（易、中、难），</w:t>
      </w:r>
      <w:r>
        <w:rPr>
          <w:rFonts w:hint="eastAsia"/>
        </w:rPr>
        <w:t>在搜索框中“输入关键字”，键盘回车即可查询</w:t>
      </w:r>
      <w:r>
        <w:rPr>
          <w:rFonts w:hint="eastAsia"/>
          <w:lang w:val="en-US" w:eastAsia="zh-CN"/>
        </w:rPr>
        <w:t>相关</w:t>
      </w:r>
      <w:r>
        <w:rPr>
          <w:rFonts w:hint="eastAsia"/>
        </w:rPr>
        <w:t>试题信息。</w:t>
      </w:r>
    </w:p>
    <w:p>
      <w:pPr>
        <w:pStyle w:val="2"/>
        <w:spacing w:after="0"/>
        <w:ind w:left="0" w:leftChars="0" w:firstLine="480"/>
        <w:rPr>
          <w:rFonts w:hint="eastAsia"/>
          <w:lang w:val="en-US" w:eastAsia="zh-CN"/>
        </w:rPr>
      </w:pPr>
      <w:r>
        <w:rPr>
          <w:rFonts w:hint="eastAsia"/>
        </w:rPr>
        <w:t>可对已有</w:t>
      </w:r>
      <w:r>
        <w:rPr>
          <w:rFonts w:hint="eastAsia"/>
          <w:lang w:val="en-US" w:eastAsia="zh-CN"/>
        </w:rPr>
        <w:t>试题</w:t>
      </w:r>
      <w:r>
        <w:rPr>
          <w:rFonts w:hint="eastAsia"/>
        </w:rPr>
        <w:t>进行“修改”、“删除”操作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也可以勾选试题进行“批量修改”、“批量删除”操作，批量修改时，能修改其所属知识标签和难易等级。</w:t>
      </w:r>
    </w:p>
    <w:p>
      <w:pPr>
        <w:pStyle w:val="2"/>
        <w:spacing w:after="0"/>
        <w:ind w:left="0" w:leftChars="0" w:firstLine="0" w:firstLineChars="0"/>
        <w:rPr>
          <w:rFonts w:hint="eastAsia" w:ascii="楷体" w:hAnsi="楷体" w:eastAsia="楷体"/>
          <w:lang w:val="en-US" w:eastAsia="zh-CN"/>
        </w:rPr>
      </w:pPr>
      <w:r>
        <w:drawing>
          <wp:inline distT="0" distB="0" distL="114300" distR="114300">
            <wp:extent cx="5263515" cy="1596390"/>
            <wp:effectExtent l="9525" t="9525" r="22860" b="13335"/>
            <wp:docPr id="150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74"/>
                    <pic:cNvPicPr>
                      <a:picLocks noChangeAspect="1"/>
                    </pic:cNvPicPr>
                  </pic:nvPicPr>
                  <pic:blipFill>
                    <a:blip r:embed="rId55"/>
                    <a:srcRect t="147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96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</w:pPr>
      <w:r>
        <w:rPr>
          <w:rFonts w:hint="eastAsia"/>
          <w:lang w:val="en-US" w:eastAsia="zh-CN"/>
        </w:rPr>
        <w:tab/>
      </w:r>
      <w:r>
        <w:rPr>
          <w:rFonts w:hint="eastAsia"/>
        </w:rPr>
        <w:t>点击页面右上方的“查重”，系统将对本题库中的试题进行查重，这需要花费一定的时间，请耐心等待。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点击“导入试题”，可下载试题模板，按照要求将试题信息填入excel表，信息填写完后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“模板下载”下方的“</w:t>
      </w:r>
      <w:r>
        <w:rPr>
          <w:rFonts w:hint="eastAsia"/>
          <w:lang w:val="en-US" w:eastAsia="zh-CN"/>
        </w:rPr>
        <w:t>文件</w:t>
      </w:r>
      <w:r>
        <w:rPr>
          <w:rFonts w:hint="eastAsia"/>
        </w:rPr>
        <w:t>上传”，即可批量导入试题信息。</w:t>
      </w:r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点击“新增”，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进入添加试题页面。</w:t>
      </w:r>
    </w:p>
    <w:p>
      <w:pPr>
        <w:pStyle w:val="2"/>
        <w:ind w:left="0" w:leftChars="0" w:firstLine="0" w:firstLineChars="0"/>
        <w:jc w:val="center"/>
        <w:rPr>
          <w:rFonts w:hint="default" w:eastAsia="楷体"/>
          <w:lang w:val="en-US" w:eastAsia="zh-CN"/>
          <w14:textOutline w14:w="9525">
            <w14:solidFill>
              <w14:schemeClr w14:val="accent1"/>
            </w14:solidFill>
            <w14:round/>
          </w14:textOutline>
        </w:rPr>
      </w:pPr>
      <w:r>
        <w:drawing>
          <wp:inline distT="0" distB="0" distL="114300" distR="114300">
            <wp:extent cx="5266690" cy="1696085"/>
            <wp:effectExtent l="9525" t="9525" r="19685" b="2794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96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在新增试题页面，可编辑试题相关信息。首先需要选择本试题的类型，不同的试题类型，那么答案的编辑方式也不同。判断题只需要设置正确答案为“对”或“错”。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可设置本道试题所属知识标签、</w:t>
      </w:r>
      <w:r>
        <w:rPr>
          <w:rFonts w:hint="eastAsia"/>
          <w:lang w:val="en-US" w:eastAsia="zh-CN"/>
        </w:rPr>
        <w:t>难易等级</w:t>
      </w:r>
      <w:r>
        <w:rPr>
          <w:rFonts w:hint="eastAsia"/>
        </w:rPr>
        <w:t>、在系统</w:t>
      </w:r>
      <w:r>
        <w:rPr>
          <w:rFonts w:hint="eastAsia"/>
          <w:lang w:val="en-US" w:eastAsia="zh-CN"/>
        </w:rPr>
        <w:t>抽题</w:t>
      </w:r>
      <w:r>
        <w:rPr>
          <w:rFonts w:hint="eastAsia"/>
        </w:rPr>
        <w:t>过程中抽到本试题的抽取概率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正确答案和</w:t>
      </w:r>
      <w:r>
        <w:rPr>
          <w:rFonts w:hint="eastAsia"/>
        </w:rPr>
        <w:t>题目解析等信息。</w:t>
      </w:r>
    </w:p>
    <w:p>
      <w:pPr>
        <w:pStyle w:val="2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770" cy="1836420"/>
            <wp:effectExtent l="9525" t="9525" r="14605" b="20955"/>
            <wp:docPr id="7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0"/>
                    <pic:cNvPicPr>
                      <a:picLocks noChangeAspect="1"/>
                    </pic:cNvPicPr>
                  </pic:nvPicPr>
                  <pic:blipFill>
                    <a:blip r:embed="rId57"/>
                    <a:srcRect t="134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36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对于单选题或多选题，在试题选项处，点击“ +</w:t>
      </w:r>
      <w:r>
        <w:t xml:space="preserve"> </w:t>
      </w:r>
      <w:r>
        <w:rPr>
          <w:rFonts w:hint="eastAsia"/>
        </w:rPr>
        <w:t>添加选项”，即可添加</w:t>
      </w:r>
      <w:r>
        <w:rPr>
          <w:rFonts w:hint="eastAsia"/>
          <w:lang w:val="en-US" w:eastAsia="zh-CN"/>
        </w:rPr>
        <w:t>新的</w:t>
      </w:r>
      <w:r>
        <w:rPr>
          <w:rFonts w:hint="eastAsia"/>
        </w:rPr>
        <w:t>选项信息；然后编辑选项，对于正确答案，点击选项左侧的“答案”将该选项标识为正确答案。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单选题只能标识一个正确答案，多选题可以标识多个正确答案。点击选项右侧的“</w:t>
      </w:r>
      <w:r>
        <w:drawing>
          <wp:inline distT="0" distB="0" distL="0" distR="0">
            <wp:extent cx="132715" cy="10414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2694" cy="1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”即可删除该选项。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5184775" cy="3575050"/>
            <wp:effectExtent l="9525" t="9525" r="25400" b="15875"/>
            <wp:docPr id="10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57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rPr>
          <w:rFonts w:hint="eastAsia"/>
          <w:lang w:eastAsia="zh-CN"/>
        </w:rPr>
      </w:pPr>
      <w:r>
        <w:rPr>
          <w:rFonts w:hint="eastAsia"/>
        </w:rPr>
        <w:t>在试题管理页面，选择试题，点击“移动试题”，将弹出弹窗</w:t>
      </w:r>
      <w:r>
        <w:rPr>
          <w:rFonts w:hint="eastAsia"/>
          <w:lang w:eastAsia="zh-CN"/>
        </w:rPr>
        <w:t>，</w:t>
      </w:r>
      <w:r>
        <w:rPr>
          <w:rFonts w:hint="eastAsia"/>
        </w:rPr>
        <w:t>选择要将试题移动至的题库如“化学安全题库”，点击“确定”，即可将试题从本题库移动至“化学安全题库”</w:t>
      </w:r>
      <w:r>
        <w:rPr>
          <w:rFonts w:hint="eastAsia"/>
          <w:lang w:eastAsia="zh-CN"/>
        </w:rPr>
        <w:t>；</w:t>
      </w:r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如果点击“复制试题”，按同样的操作方法可以将试题复制到另外一个题库中，</w:t>
      </w:r>
      <w:r>
        <w:rPr>
          <w:rFonts w:hint="eastAsia"/>
          <w:lang w:val="en-US" w:eastAsia="zh-CN"/>
        </w:rPr>
        <w:t>但是</w:t>
      </w:r>
      <w:r>
        <w:rPr>
          <w:rFonts w:hint="eastAsia"/>
        </w:rPr>
        <w:t>本题库中的</w:t>
      </w:r>
      <w:r>
        <w:rPr>
          <w:rFonts w:hint="eastAsia"/>
          <w:lang w:eastAsia="zh-CN"/>
        </w:rPr>
        <w:t>试题</w:t>
      </w:r>
      <w:r>
        <w:rPr>
          <w:rFonts w:hint="eastAsia"/>
        </w:rPr>
        <w:t>不会消失，即在两个题库中</w:t>
      </w:r>
      <w:r>
        <w:rPr>
          <w:rFonts w:hint="eastAsia"/>
          <w:lang w:val="en-US" w:eastAsia="zh-CN"/>
        </w:rPr>
        <w:t>会</w:t>
      </w:r>
      <w:r>
        <w:rPr>
          <w:rFonts w:hint="eastAsia"/>
        </w:rPr>
        <w:t>同时存在</w:t>
      </w:r>
      <w:r>
        <w:rPr>
          <w:rFonts w:hint="eastAsia"/>
          <w:lang w:val="en-US" w:eastAsia="zh-CN"/>
        </w:rPr>
        <w:t>相同的</w:t>
      </w:r>
      <w:r>
        <w:rPr>
          <w:rFonts w:hint="eastAsia"/>
          <w:lang w:eastAsia="zh-CN"/>
        </w:rPr>
        <w:t>试题</w:t>
      </w:r>
      <w:r>
        <w:rPr>
          <w:rFonts w:hint="eastAsia"/>
        </w:rPr>
        <w:t>。</w:t>
      </w:r>
    </w:p>
    <w:p>
      <w:pPr>
        <w:pStyle w:val="2"/>
        <w:spacing w:after="0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1019810</wp:posOffset>
                </wp:positionV>
                <wp:extent cx="9525" cy="657225"/>
                <wp:effectExtent l="78105" t="0" r="83820" b="952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51605" y="7184390"/>
                          <a:ext cx="9525" cy="657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1.15pt;margin-top:80.3pt;height:51.75pt;width:0.75pt;z-index:251665408;mso-width-relative:page;mso-height-relative:page;" filled="f" stroked="t" coordsize="21600,21600" o:gfxdata="UEsDBAoAAAAAAIdO4kAAAAAAAAAAAAAAAAAEAAAAZHJzL1BLAwQUAAAACACHTuJAfw1C59kAAAAL&#10;AQAADwAAAGRycy9kb3ducmV2LnhtbE2Py07DMBBF90j8gzVIbBC1k5ioCnEqBGo3XRHK3omnSdTY&#10;jmL3Qb+eYUWXo3t059xydbEjO+EcBu8UJAsBDF3rzeA6Bbuv9fMSWIjaGT16hwp+MMCqur8rdWH8&#10;2X3iqY4doxIXCq2gj3EqOA9tj1aHhZ/QUbb3s9WRzrnjZtZnKrcjT4XIudWDow+9nvC9x/ZQH62C&#10;zeZ6WG+f3l7SDOO29o34/rjulHp8SMQrsIiX+A/Dnz6pQ0VOjT86E9ioQMo0I5SCXOTAiJAyozGN&#10;gjSXCfCq5Lcbql9QSwMEFAAAAAgAh07iQICNYiMXAgAA7wMAAA4AAABkcnMvZTJvRG9jLnhtbK1T&#10;zW7UMBC+I/EOlu802S3706jZHrosFwSVgAeYdZzEkv80dje7L8ELIHECTpRT7zwNlMdgnIQWyqUH&#10;cnDGnpnP832eOT3bG812EoNytuSTo5wzaYWrlG1K/vbN5smSsxDBVqCdlSU/yMDPVo8fnXa+kFPX&#10;Ol1JZARiQ9H5krcx+iLLgmilgXDkvLTkrB0aiLTFJqsQOkI3Opvm+TzrHFYenZAh0Ol6cPIRER8C&#10;6OpaCbl24tJIGwdUlBoiUQqt8oGv+mrrWor4qq6DjEyXnJjGfqVLyN6mNVudQtEg+FaJsQR4SAn3&#10;OBlQli69hVpDBHaJ6h8oowS64Op4JJzJBiK9IsRikt/T5nULXvZcSOrgb0UP/w9WvNxdIFNVyY8X&#10;nFkw9OI3769/vPt08/Xq+8frn98+JPvLZ0Z+EqvzoaCcc3uB4y74C0zM9zWa9CdObE9wJ7PJPJ9x&#10;dij5YrJ8enwyii33kQkKOJlNySvIPZ8tpmQTXnYH4zHE59IZloySh4igmjaeO2vpUR1Oerlh9yLE&#10;IfF3QqrBuo3Sms6h0JZ1VM1yktOTC6CGralRyDSeSAfbcAa6oUkQEXvI4LSqUnrKDthszzWyHVD/&#10;bDY5fWOdf4Wlu9cQ2iGud6UwKIyKNCxamZIvU/KoQQSln9mKxYMnvQHRdSOstqRCEnmQNVlbVx16&#10;tftz6oNep7FnU6P9ue+z7+Z09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/DULn2QAAAAsBAAAP&#10;AAAAAAAAAAEAIAAAACIAAABkcnMvZG93bnJldi54bWxQSwECFAAUAAAACACHTuJAgI1iIxcCAADv&#10;AwAADgAAAAAAAAABACAAAAAoAQAAZHJzL2Uyb0RvYy54bWxQSwUGAAAAAAYABgBZAQAAs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1486535"/>
            <wp:effectExtent l="9525" t="9525" r="12065" b="27940"/>
            <wp:docPr id="7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1"/>
                    <pic:cNvPicPr>
                      <a:picLocks noChangeAspect="1"/>
                    </pic:cNvPicPr>
                  </pic:nvPicPr>
                  <pic:blipFill>
                    <a:blip r:embed="rId60"/>
                    <a:srcRect t="2531" b="480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6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74310" cy="1153160"/>
            <wp:effectExtent l="9525" t="9525" r="12065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0"/>
                    <a:srcRect t="616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0" w:name="_Toc30645"/>
      <w:r>
        <w:rPr>
          <w:rFonts w:hint="eastAsia"/>
        </w:rPr>
        <w:t>考试管理</w:t>
      </w:r>
      <w:bookmarkEnd w:id="20"/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点击左侧菜单“考试管理”→“常规考试”，进入常规考试管理页面；可根据考核名称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创建单位、考试状态（关闭、未开始、进行中、待发布、已结束）</w:t>
      </w:r>
      <w:r>
        <w:rPr>
          <w:rFonts w:hint="eastAsia"/>
        </w:rPr>
        <w:t>等</w:t>
      </w:r>
      <w:r>
        <w:rPr>
          <w:rFonts w:hint="eastAsia"/>
          <w:lang w:val="en-US" w:eastAsia="zh-CN"/>
        </w:rPr>
        <w:t>条件</w:t>
      </w:r>
      <w:r>
        <w:rPr>
          <w:rFonts w:hint="eastAsia"/>
        </w:rPr>
        <w:t>检索</w:t>
      </w:r>
      <w:r>
        <w:rPr>
          <w:rFonts w:hint="eastAsia"/>
          <w:lang w:val="en-US" w:eastAsia="zh-CN"/>
        </w:rPr>
        <w:t>已有</w:t>
      </w:r>
      <w:r>
        <w:rPr>
          <w:rFonts w:hint="eastAsia"/>
        </w:rPr>
        <w:t>考核信息；</w:t>
      </w:r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对已有考核可进行“管理”、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发布</w:t>
      </w:r>
      <w:r>
        <w:rPr>
          <w:rFonts w:hint="eastAsia"/>
          <w:lang w:eastAsia="zh-CN"/>
        </w:rPr>
        <w:t>”、“</w:t>
      </w:r>
      <w:r>
        <w:rPr>
          <w:rFonts w:hint="eastAsia"/>
          <w:lang w:val="en-US" w:eastAsia="zh-CN"/>
        </w:rPr>
        <w:t>取消发布</w:t>
      </w:r>
      <w:r>
        <w:rPr>
          <w:rFonts w:hint="eastAsia"/>
          <w:lang w:eastAsia="zh-CN"/>
        </w:rPr>
        <w:t>”、</w:t>
      </w:r>
      <w:r>
        <w:rPr>
          <w:rFonts w:hint="eastAsia"/>
        </w:rPr>
        <w:t>“复制”操作。</w:t>
      </w:r>
      <w:r>
        <w:rPr>
          <w:rFonts w:hint="eastAsia"/>
          <w:lang w:val="en-US" w:eastAsia="zh-CN"/>
        </w:rPr>
        <w:t>对于正在进行中的考试，可以查看“成绩”；</w:t>
      </w:r>
      <w:r>
        <w:rPr>
          <w:rFonts w:hint="eastAsia"/>
        </w:rPr>
        <w:t>选中</w:t>
      </w:r>
      <w:r>
        <w:rPr>
          <w:rFonts w:hint="eastAsia"/>
          <w:lang w:val="en-US" w:eastAsia="zh-CN"/>
        </w:rPr>
        <w:t>考试</w:t>
      </w:r>
      <w:r>
        <w:rPr>
          <w:rFonts w:hint="eastAsia"/>
        </w:rPr>
        <w:t>名称前的</w:t>
      </w:r>
      <w:r>
        <w:rPr>
          <w:rFonts w:hint="eastAsia"/>
          <w:lang w:val="en-US" w:eastAsia="zh-CN"/>
        </w:rPr>
        <w:t>复选框</w:t>
      </w:r>
      <w:r>
        <w:rPr>
          <w:rFonts w:hint="eastAsia"/>
        </w:rPr>
        <w:t>，点击“删除”，可以对考核进行批量删除操作。</w:t>
      </w:r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点击右上方的“新增”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，将弹出弹窗，填写考核名称，点击“保存”即可。</w:t>
      </w:r>
    </w:p>
    <w:p>
      <w:pPr>
        <w:pStyle w:val="2"/>
        <w:spacing w:after="0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1297305</wp:posOffset>
                </wp:positionV>
                <wp:extent cx="0" cy="444500"/>
                <wp:effectExtent l="85725" t="0" r="85725" b="12700"/>
                <wp:wrapNone/>
                <wp:docPr id="104" name="直接箭头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23665" y="4291965"/>
                          <a:ext cx="0" cy="444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8.95pt;margin-top:102.15pt;height:35pt;width:0pt;z-index:251675648;mso-width-relative:page;mso-height-relative:page;" filled="f" stroked="t" coordsize="21600,21600" o:gfxdata="UEsDBAoAAAAAAIdO4kAAAAAAAAAAAAAAAAAEAAAAZHJzL1BLAwQUAAAACACHTuJAqMz5HNgAAAAL&#10;AQAADwAAAGRycy9kb3ducmV2LnhtbE2PTU/DMAyG70j8h8hIXNCWrB0blKYTAm2XnSjjnjamrdY4&#10;VZN9sF+PEQc4+vGr14/z1dn14ohj6DxpmE0VCKTa244aDbv39eQBRIiGrOk9oYYvDLAqrq9yk1l/&#10;ojc8lrERXEIhMxraGIdMylC36EyY+gGJd59+dCbyODbSjubE5a6XiVIL6UxHfKE1A760WO/Lg9Ow&#10;2Vz26+3d832SYtyWvlIfr5ed1rc3M/UEIuI5/oXhR5/VoWCnyh/IBtFrmKfLR45qSNQ8BcGJX1Ix&#10;WTKRRS7//1B8A1BLAwQUAAAACACHTuJASbKuRhYCAADuAwAADgAAAGRycy9lMm9Eb2MueG1srVO9&#10;jhMxEO6ReAfLPdlNLhddomyuSAgNgkjAAzhe764l/2nGl01eghdAogIqoLqep4HjMRg74Q6O5gq2&#10;8I7tmW/m+2Y8v9xbw3YKUHtX8eGg5Ew56Wvt2oq/eb1+csEZRuFqYbxTFT8o5JeLx4/mfZipke+8&#10;qRUwAnE460PFuxjDrChQdsoKHPigHF02HqyItIW2qEH0hG5NMSrLSdF7qAN4qRDpdHW85CdEeAig&#10;bxot1crLK6tcPKKCMiISJex0QL7I1TaNkvFl06CKzFScmMa8UhKyt2ktFnMxa0GETstTCeIhJdzj&#10;ZIV2lPQWaiWiYFeg/4GyWoJH38SB9LY4EsmKEItheU+bV50IKnMhqTHcio7/D1a+2G2A6ZomoRxz&#10;5oSllt+8u/7x9uPN1y/fP1z//PY+2Z8/seRAcvUBZxS1dBs47TBsIHHfN2DTn1ixfcXPpqOzyeSc&#10;s0PFx6PpcEp2llvtI5PkQD2Q6W48Pi9zJ4o7jAAYnylvWTIqjhGEbru49M5RTz0Ms9pi9xwjYVLg&#10;74BUgPNrbUzOZRzrqZSLIWVgUtC8NjQnZNpAnNG1nAnT0kOQETIkeqPrFJ6AENrt0gDbCRqf9bqk&#10;L1GgdH+5pdwrgd3RL18dmVod6a0YbSt+kYJP8xaFNk9dzeIhkNoCwPcnWOMIPSl81DRZW18fstT5&#10;nMYg5z+NbJqzP/c5+u6ZLn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qMz5HNgAAAALAQAADwAA&#10;AAAAAAABACAAAAAiAAAAZHJzL2Rvd25yZXYueG1sUEsBAhQAFAAAAAgAh07iQEmyrkYWAgAA7gMA&#10;AA4AAAAAAAAAAQAgAAAAJwEAAGRycy9lMm9Eb2MueG1sUEsFBgAAAAAGAAYAWQEAAK8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1353820"/>
            <wp:effectExtent l="9525" t="9525" r="12065" b="27305"/>
            <wp:docPr id="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0340" cy="845820"/>
            <wp:effectExtent l="9525" t="9525" r="26035" b="20955"/>
            <wp:docPr id="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rcRect t="6833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4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1" w:name="_Toc31999"/>
      <w:r>
        <w:rPr>
          <w:rFonts w:hint="eastAsia"/>
          <w:lang w:val="en-US" w:eastAsia="zh-CN"/>
        </w:rPr>
        <w:t>常规考试</w:t>
      </w:r>
      <w:bookmarkEnd w:id="21"/>
      <w:r>
        <w:rPr>
          <w:rFonts w:hint="eastAsia"/>
          <w:lang w:val="en-US" w:eastAsia="zh-CN"/>
        </w:rPr>
        <w:tab/>
      </w:r>
    </w:p>
    <w:p>
      <w:pPr>
        <w:pStyle w:val="6"/>
      </w:pPr>
      <w:bookmarkStart w:id="22" w:name="_Toc1412"/>
      <w:r>
        <w:rPr>
          <w:rFonts w:hint="eastAsia"/>
        </w:rPr>
        <w:t>考试设置</w:t>
      </w:r>
      <w:bookmarkEnd w:id="22"/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在常规考试管理页面，选择一场考核，点击列表右侧的“管理”，进入考试设置页面，设置考试相关的信息；</w:t>
      </w:r>
    </w:p>
    <w:p>
      <w:pPr>
        <w:pStyle w:val="2"/>
        <w:spacing w:after="0"/>
        <w:ind w:left="0" w:leftChars="0" w:firstLine="480"/>
      </w:pPr>
      <w:r>
        <w:rPr>
          <w:rFonts w:hint="eastAsia"/>
          <w:lang w:val="en-US" w:eastAsia="zh-CN"/>
        </w:rPr>
        <w:t>系统默认考试状态为“开启”，</w:t>
      </w:r>
      <w:r>
        <w:rPr>
          <w:rFonts w:hint="eastAsia"/>
        </w:rPr>
        <w:t>若</w:t>
      </w:r>
      <w:r>
        <w:rPr>
          <w:rFonts w:hint="eastAsia"/>
          <w:lang w:val="en-US" w:eastAsia="zh-CN"/>
        </w:rPr>
        <w:t>将</w:t>
      </w:r>
      <w:r>
        <w:rPr>
          <w:rFonts w:hint="eastAsia"/>
        </w:rPr>
        <w:t>考试状态</w:t>
      </w:r>
      <w:r>
        <w:rPr>
          <w:rFonts w:hint="eastAsia"/>
          <w:lang w:val="en-US" w:eastAsia="zh-CN"/>
        </w:rPr>
        <w:t>设置</w:t>
      </w:r>
      <w:r>
        <w:rPr>
          <w:rFonts w:hint="eastAsia"/>
        </w:rPr>
        <w:t>为“关闭”，那么除了管理员可以在后台查看到本场考核信息，前台用户无法查看。</w:t>
      </w:r>
      <w:r>
        <w:t xml:space="preserve"> 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1610" cy="2245995"/>
            <wp:effectExtent l="9525" t="9525" r="24765" b="11430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rcRect t="1128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5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Chars="0"/>
        <w:rPr>
          <w:rFonts w:hint="eastAsia"/>
        </w:rPr>
      </w:pPr>
      <w:r>
        <w:rPr>
          <w:rFonts w:hint="eastAsia"/>
        </w:rPr>
        <w:t>若需要考生在考前进行考试承诺，那么勾选考试承诺，选择承诺方式，并输入承诺文本。</w:t>
      </w:r>
    </w:p>
    <w:p>
      <w:pPr>
        <w:pStyle w:val="2"/>
        <w:ind w:left="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承诺方式共有两种：</w:t>
      </w:r>
    </w:p>
    <w:p>
      <w:pPr>
        <w:pStyle w:val="2"/>
        <w:numPr>
          <w:ilvl w:val="0"/>
          <w:numId w:val="2"/>
        </w:numPr>
        <w:ind w:left="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勾选模式，勾选‘我承诺复选框’并确定；若选择勾选模式，则在承诺书文本内容中不能有手写签名字段“${SIGN}”。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8595" cy="2209800"/>
            <wp:effectExtent l="9525" t="9525" r="17780" b="952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64"/>
                    <a:srcRect t="114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4310" cy="1776095"/>
            <wp:effectExtent l="0" t="0" r="2540" b="14605"/>
            <wp:docPr id="12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8"/>
                    <pic:cNvPicPr>
                      <a:picLocks noChangeAspect="1"/>
                    </pic:cNvPicPr>
                  </pic:nvPicPr>
                  <pic:blipFill>
                    <a:blip r:embed="rId65"/>
                    <a:srcRect t="138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手签模式，通过手机端扫描二维码信息，在手机端进行签名并提交操作，签名后，签名信息会显示在承诺书中，在进入考试前可多次进行签名。</w:t>
      </w:r>
    </w:p>
    <w:p>
      <w:pPr>
        <w:pStyle w:val="2"/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若选择手签模式，则在承诺书文本内容中必须有手写签名字段“${SIGN}”。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969010" cy="2099310"/>
            <wp:effectExtent l="9525" t="9525" r="12065" b="2476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rcRect r="81595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209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6510" cy="2099310"/>
            <wp:effectExtent l="9525" t="9525" r="12065" b="2476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66"/>
                    <a:srcRect l="27319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099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对考核的一系列设置。可设置考生进行考核时试题显示形式，包括整卷、分页和单题三种。选择“分页”时，需要输入每一页显示的题目数量，并且大于等于2；选择“单题”时，需要设定答题作答时间（必须为整数），超过时间后将自动跳到下一题，同时考生在答题后不允许返回修改答案。</w:t>
      </w:r>
    </w:p>
    <w:p>
      <w:pPr>
        <w:pStyle w:val="2"/>
        <w:spacing w:after="0"/>
        <w:ind w:left="0" w:leftChars="0" w:firstLine="48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中断恢复，若考生在一段时间内无活动，则允许该考生继续进行考试并扣除15分钟时间。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2501265"/>
            <wp:effectExtent l="9525" t="9525" r="12065" b="2286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Chars="0"/>
        <w:rPr>
          <w:rFonts w:ascii="宋体" w:hAnsi="宋体"/>
        </w:rPr>
      </w:pPr>
      <w:r>
        <w:rPr>
          <w:rFonts w:hint="eastAsia" w:ascii="宋体" w:hAnsi="宋体"/>
        </w:rPr>
        <w:t>对于成绩公布与公布答案，系统默认“即时公布”，即考生考完后就可以查看成绩与答案；可修改为“指定时间”公布，即在指定时间考生才可查看成绩与答案。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5266690" cy="1905635"/>
            <wp:effectExtent l="9525" t="9525" r="19685" b="2794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68"/>
                    <a:srcRect t="130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5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模拟考试</w:t>
      </w:r>
      <w:r>
        <w:rPr>
          <w:rFonts w:hint="eastAsia"/>
          <w:lang w:val="en-US" w:eastAsia="zh-CN"/>
        </w:rPr>
        <w:t>默认关闭</w:t>
      </w:r>
      <w:r>
        <w:rPr>
          <w:rFonts w:hint="eastAsia"/>
        </w:rPr>
        <w:t>，若“开启”，那么考生可进行考前练习，这时还需要设置模拟考试时间与答卷次数。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1381125"/>
            <wp:effectExtent l="9525" t="9525" r="12065" b="1905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选择考生通过本场考核后，是否生成证书，若选择“是”，那么</w:t>
      </w:r>
      <w:r>
        <w:rPr>
          <w:rFonts w:hint="eastAsia"/>
          <w:lang w:val="en-US" w:eastAsia="zh-CN"/>
        </w:rPr>
        <w:t>可以选择证书模板并设置证书编号规则（学校代码+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年份+流水数）</w:t>
      </w:r>
      <w:r>
        <w:rPr>
          <w:rFonts w:hint="eastAsia"/>
        </w:rPr>
        <w:t>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2880" cy="2244725"/>
            <wp:effectExtent l="9525" t="9525" r="23495" b="12700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70"/>
                    <a:srcRect t="1095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4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配置好考试的相关信息后，点击页面</w:t>
      </w:r>
      <w:r>
        <w:rPr>
          <w:rFonts w:hint="eastAsia"/>
          <w:lang w:val="en-US" w:eastAsia="zh-CN"/>
        </w:rPr>
        <w:t>最</w:t>
      </w:r>
      <w:r>
        <w:rPr>
          <w:rFonts w:hint="eastAsia"/>
        </w:rPr>
        <w:t>下方的“保存”，将已设置好的信息进行保存；点击页面上方的“组卷”，切换到组卷模块。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4625975" cy="2767965"/>
            <wp:effectExtent l="9525" t="9525" r="12700" b="22860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71"/>
                    <a:srcRect l="12282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76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3" w:name="_Toc9658"/>
      <w:r>
        <w:rPr>
          <w:rFonts w:hint="eastAsia"/>
        </w:rPr>
        <w:t>组卷</w:t>
      </w:r>
      <w:bookmarkEnd w:id="23"/>
    </w:p>
    <w:p>
      <w:pPr>
        <w:pStyle w:val="2"/>
        <w:spacing w:after="0"/>
        <w:ind w:left="0" w:leftChars="0" w:firstLine="480"/>
        <w:rPr>
          <w:rFonts w:hint="eastAsia"/>
          <w:lang w:val="en-US" w:eastAsia="zh-CN"/>
        </w:rPr>
      </w:pPr>
      <w:r>
        <w:rPr>
          <w:rFonts w:hint="eastAsia"/>
        </w:rPr>
        <w:t>点击页面上方的“组卷”，切换到组卷模块</w:t>
      </w:r>
      <w:r>
        <w:rPr>
          <w:rFonts w:hint="eastAsia"/>
          <w:lang w:eastAsia="zh-CN"/>
        </w:rPr>
        <w:t>。</w:t>
      </w:r>
      <w:r>
        <w:rPr>
          <w:rFonts w:hint="eastAsia"/>
        </w:rPr>
        <w:t>可进行组卷设置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主要是对抽题方式、试题分值、合格分数以及组卷方式（随机、固定）的管理。</w:t>
      </w:r>
    </w:p>
    <w:p>
      <w:pPr>
        <w:pStyle w:val="2"/>
        <w:spacing w:after="0"/>
        <w:ind w:left="0" w:leftChars="0" w:firstLine="48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试题分值配置</w:t>
      </w:r>
      <w:r>
        <w:rPr>
          <w:rFonts w:hint="eastAsia"/>
          <w:lang w:val="en-US" w:eastAsia="zh-CN"/>
        </w:rPr>
        <w:t>，点击右上方的“试题分值配置”，会出现弹窗，可以分别为固定试题和随机试题配置各个题型的分值，系统会根据选择的题数和配置好的分值自动计算试卷总分；编辑完成后点击“确定”即可。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4674235" cy="2510155"/>
            <wp:effectExtent l="9525" t="9525" r="21590" b="13970"/>
            <wp:docPr id="9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4"/>
                    <pic:cNvPicPr>
                      <a:picLocks noChangeAspect="1"/>
                    </pic:cNvPicPr>
                  </pic:nvPicPr>
                  <pic:blipFill>
                    <a:blip r:embed="rId72"/>
                    <a:srcRect l="11377"/>
                    <a:stretch>
                      <a:fillRect/>
                    </a:stretch>
                  </pic:blipFill>
                  <pic:spPr>
                    <a:xfrm>
                      <a:off x="0" y="0"/>
                      <a:ext cx="4674235" cy="2510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抽题方式</w:t>
      </w:r>
      <w:r>
        <w:rPr>
          <w:rFonts w:hint="eastAsia"/>
          <w:lang w:val="en-US" w:eastAsia="zh-CN"/>
        </w:rPr>
        <w:t>，抽题方式分为“按题库”和“按知识标签”两种（两者在操作上完全一致，只是方向上有所不同），可以根据这两种不同的维度从所有试题中进行抽题。</w:t>
      </w:r>
    </w:p>
    <w:p>
      <w:pPr>
        <w:pStyle w:val="2"/>
        <w:spacing w:after="0"/>
        <w:ind w:left="0" w:leftChars="0"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在选择了一种抽题方式后（以“按题库”为例），点击旁边的“添加一行”，即可在下方的表格中添加一行组卷配置；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0340" cy="3496310"/>
            <wp:effectExtent l="9525" t="9525" r="26035" b="1841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73"/>
                    <a:srcRect t="1818" b="285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49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表格中，点击第一列“题库/知识标签”中的下拉框，会出现相应的题库列表，可以选择在一行中添加多个题库，让多个题库一起抽题，也可以单独为一个题库添加新的一行；在选择了题库后，即可对题库进行随机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抽题或固定抽题。</w:t>
      </w:r>
    </w:p>
    <w:p>
      <w:pPr>
        <w:pStyle w:val="2"/>
        <w:spacing w:after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系统默认抽取的试题是“区分”难度类型的，即可以针对不同难易等级的试题分别进行抽题，以满足学校对于题目难度多样化的需求；若选中“不区分”，则不需要对每个难度等级进行抽题。</w:t>
      </w:r>
    </w:p>
    <w:p>
      <w:pPr>
        <w:pStyle w:val="2"/>
        <w:spacing w:after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在配置随机试题时，直接在表格中输入对应的数字即可，系统会从题库中随机抽取相应数量的题目，所抽取的题数不能超过该类型试题的总题数；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1610" cy="1885950"/>
            <wp:effectExtent l="9525" t="9525" r="24765" b="9525"/>
            <wp:docPr id="9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0"/>
                    <pic:cNvPicPr>
                      <a:picLocks noChangeAspect="1"/>
                    </pic:cNvPicPr>
                  </pic:nvPicPr>
                  <pic:blipFill>
                    <a:blip r:embed="rId74"/>
                    <a:srcRect t="1277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固定试题，需要点击表格右侧“固定试题管理”，可从已选中的题库中挑选部分题目作为固定试题。固定试题管理中，左侧为“可选试题”，即已选题库中所有能够进行抽题的试题，可以按照题库、难度、题型、题干进行检索；试题右侧为“已选试题”，即已经添加的试题。</w:t>
      </w:r>
    </w:p>
    <w:p>
      <w:pPr>
        <w:pStyle w:val="2"/>
        <w:spacing w:after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选中左侧试题，点击“</w:t>
      </w:r>
      <w:r>
        <w:drawing>
          <wp:inline distT="0" distB="0" distL="114300" distR="114300">
            <wp:extent cx="190500" cy="232410"/>
            <wp:effectExtent l="0" t="0" r="0" b="15240"/>
            <wp:docPr id="9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”，就能将题库中的试题添加到固定试题中；相应的，选中右侧试题，点击“</w:t>
      </w:r>
      <w:r>
        <w:drawing>
          <wp:inline distT="0" distB="0" distL="114300" distR="114300">
            <wp:extent cx="208915" cy="202565"/>
            <wp:effectExtent l="0" t="0" r="635" b="6985"/>
            <wp:docPr id="9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”，可将已选择的试题移除固定试题列表。</w:t>
      </w:r>
    </w:p>
    <w:p>
      <w:pPr>
        <w:pStyle w:val="2"/>
        <w:spacing w:after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在试题添加完成后，点击右上方的“保存”，保存已添加的试题信息；点击“关闭”，则不保存。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4150" cy="2282825"/>
            <wp:effectExtent l="9525" t="9525" r="22225" b="12700"/>
            <wp:docPr id="9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8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合格分数及组卷方式，</w:t>
      </w:r>
      <w:r>
        <w:rPr>
          <w:rFonts w:hint="eastAsia"/>
          <w:lang w:val="en-US" w:eastAsia="zh-CN"/>
        </w:rPr>
        <w:t>合格分数可以在表格下方直接进行配置，组卷方式则拥有两种形式：</w:t>
      </w:r>
    </w:p>
    <w:p>
      <w:pPr>
        <w:pStyle w:val="2"/>
        <w:tabs>
          <w:tab w:val="center" w:pos="4153"/>
        </w:tabs>
        <w:spacing w:after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按抽题规则随机组卷</w:t>
      </w:r>
      <w:r>
        <w:rPr>
          <w:rFonts w:hint="eastAsia"/>
          <w:lang w:val="en-US" w:eastAsia="zh-CN"/>
        </w:rPr>
        <w:t>，选择随机组卷，在点击“保存”后，即可对试卷进行“预览”；点击右上方的“编辑”按钮，可继续编辑组卷内容；也可预览并管理试卷中的固定试题信息。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72405" cy="2695575"/>
            <wp:effectExtent l="9525" t="9525" r="13970" b="19050"/>
            <wp:docPr id="14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67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在预览试卷时，可点击右上方的“导出”，将试卷导出为pdf格式以便能进行打印等。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7325" cy="1784985"/>
            <wp:effectExtent l="9525" t="9525" r="19050" b="15240"/>
            <wp:docPr id="143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6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4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按抽题规则生成固定试卷</w:t>
      </w:r>
      <w:r>
        <w:rPr>
          <w:rFonts w:hint="eastAsia"/>
          <w:lang w:val="en-US" w:eastAsia="zh-CN"/>
        </w:rPr>
        <w:t>，需要配置所需生成固定试卷的份数，试卷份数不能为空，点击“保存并重新生成试卷”，系统会根据份数自动生成对应的试卷。点击右上方的“编辑”按钮，可继续编辑组卷内容；也可预览并管理试卷中的固定试题信息。</w:t>
      </w:r>
    </w:p>
    <w:p>
      <w:pPr>
        <w:pStyle w:val="2"/>
        <w:spacing w:after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可对已生成的试卷进行管理，包括“预览”、“导出”、“打乱题号”、“顺序（试题选项顺序）”、“编辑”操作。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71135" cy="3193415"/>
            <wp:effectExtent l="9525" t="9525" r="15240" b="16510"/>
            <wp:docPr id="14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7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3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在预览试卷时，</w:t>
      </w:r>
      <w:r>
        <w:rPr>
          <w:rFonts w:hint="eastAsia" w:ascii="宋体" w:hAnsi="宋体" w:cs="宋体"/>
          <w:lang w:val="en-US" w:eastAsia="zh-CN"/>
        </w:rPr>
        <w:t>可对已有试题进行替换，点击“替换试题”，在弹窗中选择题库中的试题进行替换即可。</w:t>
      </w:r>
    </w:p>
    <w:p>
      <w:pPr>
        <w:pStyle w:val="2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8595" cy="2312670"/>
            <wp:effectExtent l="9525" t="9525" r="17780" b="20955"/>
            <wp:docPr id="14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7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2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4" w:name="_Toc20219"/>
      <w:r>
        <w:rPr>
          <w:rFonts w:hint="eastAsia"/>
        </w:rPr>
        <w:t>学习内容</w:t>
      </w:r>
      <w:bookmarkEnd w:id="24"/>
    </w:p>
    <w:p>
      <w:pPr>
        <w:pStyle w:val="2"/>
        <w:spacing w:after="0"/>
        <w:ind w:left="0" w:leftChars="0" w:firstLine="480"/>
        <w:rPr>
          <w:rFonts w:hint="eastAsia"/>
          <w:lang w:val="en-US" w:eastAsia="zh-CN"/>
        </w:rPr>
      </w:pPr>
      <w:r>
        <w:rPr>
          <w:rFonts w:hint="eastAsia"/>
        </w:rPr>
        <w:t>在学习内容模块，</w:t>
      </w:r>
      <w:r>
        <w:rPr>
          <w:rFonts w:hint="eastAsia"/>
          <w:lang w:val="en-US" w:eastAsia="zh-CN"/>
        </w:rPr>
        <w:t>系统默认本次学习要求为“无要求”，可以为本次考试设置不同类型的学习时长要求，包括“本次”、“本学期”、“本学年”、“累计”，使得考核能适应不同形式、不同规模的需要。</w:t>
      </w:r>
    </w:p>
    <w:p>
      <w:pPr>
        <w:pStyle w:val="2"/>
        <w:spacing w:after="0"/>
        <w:ind w:left="0" w:leftChars="0" w:firstLine="420" w:firstLineChars="0"/>
      </w:pPr>
      <w:r>
        <w:rPr>
          <w:rFonts w:hint="eastAsia"/>
        </w:rPr>
        <w:t>可查看已选择的学习内容时长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选学、必学、总时长</w:t>
      </w:r>
      <w:r>
        <w:rPr>
          <w:rFonts w:hint="eastAsia"/>
          <w:lang w:eastAsia="zh-CN"/>
        </w:rPr>
        <w:t>），</w:t>
      </w:r>
      <w:r>
        <w:rPr>
          <w:rFonts w:hint="eastAsia"/>
          <w:lang w:val="en-US" w:eastAsia="zh-CN"/>
        </w:rPr>
        <w:t>系统内置时长规则，要求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7F7F7"/>
        </w:rPr>
        <w:t>已选必学内容时长 &lt;= 要求学习时长 &lt;= 全部内容（选学+必学）总时长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7F7F7"/>
          <w:lang w:eastAsia="zh-CN"/>
        </w:rPr>
        <w:t>，</w:t>
      </w:r>
      <w:r>
        <w:rPr>
          <w:rFonts w:hint="eastAsia" w:ascii="Helvetica" w:hAnsi="Helvetica" w:cs="Helvetica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7F7F7"/>
          <w:lang w:val="en-US" w:eastAsia="zh-CN"/>
        </w:rPr>
        <w:t>不满足要求的将不能保存</w:t>
      </w:r>
      <w:r>
        <w:rPr>
          <w:rFonts w:hint="eastAsia"/>
        </w:rPr>
        <w:t>。</w:t>
      </w:r>
    </w:p>
    <w:p>
      <w:pPr>
        <w:pStyle w:val="2"/>
        <w:spacing w:after="0"/>
        <w:ind w:left="0" w:leftChars="0" w:firstLine="0" w:firstLineChars="0"/>
        <w:jc w:val="left"/>
        <w:rPr>
          <w:rFonts w:hint="eastAsia"/>
        </w:rPr>
      </w:pPr>
      <w:r>
        <w:drawing>
          <wp:inline distT="0" distB="0" distL="114300" distR="114300">
            <wp:extent cx="5270500" cy="1636395"/>
            <wp:effectExtent l="9525" t="9525" r="15875" b="11430"/>
            <wp:docPr id="10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1"/>
                    <pic:cNvPicPr>
                      <a:picLocks noChangeAspect="1"/>
                    </pic:cNvPicPr>
                  </pic:nvPicPr>
                  <pic:blipFill>
                    <a:blip r:embed="rId82"/>
                    <a:srcRect t="141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6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/>
          <w:lang w:val="en-US" w:eastAsia="zh-CN"/>
        </w:rPr>
        <w:br w:type="textWrapping"/>
      </w:r>
      <w:r>
        <w:rPr>
          <w:rFonts w:hint="eastAsia" w:ascii="楷体" w:hAnsi="楷体" w:eastAsia="楷体"/>
          <w:lang w:val="en-US" w:eastAsia="zh-CN"/>
        </w:rPr>
        <w:tab/>
      </w:r>
      <w:r>
        <w:rPr>
          <w:rFonts w:hint="eastAsia"/>
        </w:rPr>
        <w:t>页面下方的学习内容列表，切换选项卡（如化学、</w:t>
      </w:r>
      <w:r>
        <w:rPr>
          <w:rFonts w:hint="eastAsia"/>
          <w:lang w:val="en-US" w:eastAsia="zh-CN"/>
        </w:rPr>
        <w:t>特种设备、</w:t>
      </w:r>
      <w:r>
        <w:rPr>
          <w:rFonts w:hint="eastAsia"/>
        </w:rPr>
        <w:t>通识）可查看不同知识标签的学习内容列表；</w:t>
      </w:r>
    </w:p>
    <w:p>
      <w:pPr>
        <w:pStyle w:val="2"/>
        <w:spacing w:after="0"/>
        <w:ind w:left="0" w:leftChars="0" w:firstLine="420" w:firstLineChars="0"/>
        <w:jc w:val="left"/>
        <w:rPr>
          <w:rFonts w:hint="eastAsia"/>
        </w:rPr>
      </w:pPr>
      <w:r>
        <w:rPr>
          <w:rFonts w:hint="eastAsia"/>
          <w:lang w:val="en-US" w:eastAsia="zh-CN"/>
        </w:rPr>
        <w:t>可按照不同模式（按知识标签、按学习模块）对已选择的学习内容进行查看与管理；</w:t>
      </w:r>
      <w:r>
        <w:rPr>
          <w:rFonts w:hint="eastAsia"/>
        </w:rPr>
        <w:t>可修改要求学习时长与“是否必学”的配置，也可删除一部分学习内容，以满足本次考核的需求；</w:t>
      </w:r>
    </w:p>
    <w:p>
      <w:pPr>
        <w:pStyle w:val="2"/>
        <w:spacing w:after="0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72405" cy="1808480"/>
            <wp:effectExtent l="9525" t="9525" r="13970" b="10795"/>
            <wp:docPr id="152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76"/>
                    <pic:cNvPicPr>
                      <a:picLocks noChangeAspect="1"/>
                    </pic:cNvPicPr>
                  </pic:nvPicPr>
                  <pic:blipFill>
                    <a:blip r:embed="rId83"/>
                    <a:srcRect t="136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8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  <w:rPr>
          <w:rFonts w:hint="eastAsia"/>
          <w:lang w:val="en-US" w:eastAsia="zh-CN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学习内容管理</w:t>
      </w:r>
      <w:r>
        <w:rPr>
          <w:rFonts w:hint="eastAsia"/>
        </w:rPr>
        <w:t>”，将弹出弹窗，</w:t>
      </w:r>
      <w:r>
        <w:rPr>
          <w:rFonts w:hint="eastAsia"/>
          <w:lang w:val="en-US" w:eastAsia="zh-CN"/>
        </w:rPr>
        <w:t>可切换选项卡查看不同状态的学习内容列表；点击学习内容的文本标题，可在新窗口中对该学习内容进行预览查看。</w:t>
      </w:r>
    </w:p>
    <w:p>
      <w:pPr>
        <w:pStyle w:val="2"/>
        <w:spacing w:after="0"/>
        <w:ind w:left="0" w:leftChars="0" w:firstLine="480"/>
        <w:rPr>
          <w:rFonts w:hint="default"/>
          <w:lang w:val="en-US" w:eastAsia="zh-CN"/>
        </w:rPr>
      </w:pPr>
    </w:p>
    <w:p>
      <w:pPr>
        <w:pStyle w:val="2"/>
        <w:spacing w:after="0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2336165</wp:posOffset>
                </wp:positionV>
                <wp:extent cx="0" cy="619125"/>
                <wp:effectExtent l="85725" t="0" r="85725" b="9525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66490" y="3231515"/>
                          <a:ext cx="0" cy="619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9.45pt;margin-top:183.95pt;height:48.75pt;width:0pt;z-index:251666432;mso-width-relative:page;mso-height-relative:page;" filled="f" stroked="t" coordsize="21600,21600" o:gfxdata="UEsDBAoAAAAAAIdO4kAAAAAAAAAAAAAAAAAEAAAAZHJzL1BLAwQUAAAACACHTuJAJhouHdkAAAAL&#10;AQAADwAAAGRycy9kb3ducmV2LnhtbE2PS0/DMBCE70j8B2uRuCBq9xXaEKdCoPbSE6HcnXhJosbr&#10;KHYf9NezqAe4ze6MZr/NVmfXiSMOofWkYTxSIJAqb1uqNew+1o8LECEasqbzhBq+McAqv73JTGr9&#10;id7xWMRacAmF1GhoYuxTKUPVoDNh5Hsk9r784EzkcailHcyJy10nJ0ol0pmW+EJjenxtsNoXB6dh&#10;s7ns19uHl/lkinFb+FJ9vl12Wt/fjdUziIjn+BeGX3xGh5yZSn8gG0SnYbpcLDnKInliwYnrptQw&#10;S+YzkHkm//+Q/wBQSwMEFAAAAAgAh07iQNik1qcUAgAA7AMAAA4AAABkcnMvZTJvRG9jLnhtbK1T&#10;zY7TMBC+I/EOlu80SbtbdaOme2gpFwSVgAdwHSex5D+NvU37ErwAEifgBJz2ztPA8hiMnbALy2UP&#10;5OCMPZ5v5vs8s7w8akUOAry0pqLFJKdEGG5radqKvnm9fbKgxAdmaqasERU9CU8vV48fLXtXiqnt&#10;rKoFEAQxvuxdRbsQXJllnndCMz+xThh0NhY0C7iFNquB9YiuVTbN83nWW6gdWC68x9PN4KQjIjwE&#10;0DaN5GJj+ZUWJgyoIBQLSMl30nm6StU2jeDhZdN4EYiqKDINacUkaO/jmq2WrGyBuU7ysQT2kBLu&#10;cdJMGkx6C7VhgZErkP9AacnBetuECbc6G4gkRZBFkd/T5lXHnEhcUGrvbkX3/w+WvzjsgMi6omcz&#10;SgzT+OI3765/vP148/XL9w/XP7+9j/bnTwT9KFbvfIkxa7ODcefdDiLzYwM6/pETOVZ0Np/Pzy5Q&#10;5hPa01lxXpwPYotjIBwvoIujb15cFNPkyu4wHPjwTFhNolFRH4DJtgtrawy+qIUiac0Oz33AKjDw&#10;d0AswNitVCo9rDKkx/SLIo/ZGHZrg12CpnbI2JuWEqZaHAMeIEF6q2QdwyOQh3a/VkAODJtnu83x&#10;ixQw3V/XYu4N891wL7kGploGnBQldUUXMXjstsCkempqEk4OxWYAth9hlUH0qPCgabT2tj4lqdM5&#10;NkHKPzZs7LI/9yn6bkh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mGi4d2QAAAAsBAAAPAAAA&#10;AAAAAAEAIAAAACIAAABkcnMvZG93bnJldi54bWxQSwECFAAUAAAACACHTuJA2KTWpxQCAADsAwAA&#10;DgAAAAAAAAABACAAAAAoAQAAZHJzL2Uyb0RvYy54bWxQSwUGAAAAAAYABgBZAQAAr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1610" cy="2669540"/>
            <wp:effectExtent l="9525" t="9525" r="24765" b="26035"/>
            <wp:docPr id="11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5"/>
                    <pic:cNvPicPr>
                      <a:picLocks noChangeAspect="1"/>
                    </pic:cNvPicPr>
                  </pic:nvPicPr>
                  <pic:blipFill>
                    <a:blip r:embed="rId84"/>
                    <a:srcRect t="6656" b="3600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9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1610" cy="1402715"/>
            <wp:effectExtent l="9525" t="9525" r="24765" b="16510"/>
            <wp:docPr id="4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5"/>
                    <pic:cNvPicPr>
                      <a:picLocks noChangeAspect="1"/>
                    </pic:cNvPicPr>
                  </pic:nvPicPr>
                  <pic:blipFill>
                    <a:blip r:embed="rId84"/>
                    <a:srcRect t="6987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02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在“未选”列表中，选中学习内容，点击下方的“保存”或“保存并继续添加”按钮，即可添加新的学习内容；</w:t>
      </w:r>
    </w:p>
    <w:p>
      <w:pPr>
        <w:pStyle w:val="2"/>
        <w:spacing w:after="0"/>
        <w:ind w:left="0" w:leftChars="0" w:firstLine="420" w:firstLineChars="0"/>
      </w:pPr>
      <w:r>
        <w:rPr>
          <w:rFonts w:hint="eastAsia"/>
          <w:lang w:val="en-US" w:eastAsia="zh-CN"/>
        </w:rPr>
        <w:t>在“已选”列表中，勾选学习内容，可进行批量取消选中、批量修改操作；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在“全部”列表中，可查看所有学习内容的状态并分别对已选和未选的学习内容进行“移除”、“选中”操作。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230" cy="4330700"/>
            <wp:effectExtent l="9525" t="9525" r="17145" b="22225"/>
            <wp:docPr id="11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0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5" w:name="_Toc20475"/>
      <w:r>
        <w:rPr>
          <w:rFonts w:hint="eastAsia"/>
        </w:rPr>
        <w:t>考生管理</w:t>
      </w:r>
      <w:bookmarkEnd w:id="25"/>
    </w:p>
    <w:p>
      <w:pPr>
        <w:pStyle w:val="2"/>
        <w:spacing w:after="0"/>
        <w:ind w:left="0" w:leftChars="0" w:firstLine="480"/>
      </w:pPr>
      <w:r>
        <w:rPr>
          <w:rFonts w:hint="eastAsia"/>
        </w:rPr>
        <w:t>点击页面上方的“考生管理”，切换到考生管理模块，可对参与本场考核的考生进行设置</w:t>
      </w:r>
      <w:r>
        <w:rPr>
          <w:rFonts w:hint="eastAsia"/>
          <w:lang w:eastAsia="zh-CN"/>
        </w:rPr>
        <w:t>；</w:t>
      </w:r>
      <w:r>
        <w:rPr>
          <w:rFonts w:hint="eastAsia"/>
        </w:rPr>
        <w:t>可</w:t>
      </w:r>
      <w:r>
        <w:rPr>
          <w:rFonts w:hint="eastAsia"/>
          <w:lang w:val="en-US" w:eastAsia="zh-CN"/>
        </w:rPr>
        <w:t>通过模板批量导入考生信息</w:t>
      </w:r>
      <w:r>
        <w:rPr>
          <w:rFonts w:hint="eastAsia"/>
        </w:rPr>
        <w:t>，也可手工指定考生。</w:t>
      </w:r>
    </w:p>
    <w:p>
      <w:pPr>
        <w:pStyle w:val="2"/>
        <w:spacing w:after="0"/>
        <w:ind w:left="0" w:leftChars="0" w:firstLine="480"/>
        <w:rPr>
          <w:rFonts w:hint="default" w:eastAsia="宋体"/>
          <w:lang w:val="en-US" w:eastAsia="zh-CN"/>
        </w:rPr>
      </w:pPr>
      <w:r>
        <w:rPr>
          <w:rFonts w:hint="eastAsia"/>
        </w:rPr>
        <w:t>可根据学院、</w:t>
      </w:r>
      <w:r>
        <w:rPr>
          <w:rFonts w:hint="eastAsia"/>
          <w:lang w:val="en-US" w:eastAsia="zh-CN"/>
        </w:rPr>
        <w:t>年级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专业、班级、</w:t>
      </w:r>
      <w:r>
        <w:rPr>
          <w:rFonts w:hint="eastAsia"/>
        </w:rPr>
        <w:t>考生</w:t>
      </w:r>
      <w:r>
        <w:rPr>
          <w:rFonts w:hint="eastAsia"/>
          <w:lang w:val="en-US" w:eastAsia="zh-CN"/>
        </w:rPr>
        <w:t>类别、姓名、学号查询已添加的考生信息</w:t>
      </w:r>
      <w:r>
        <w:rPr>
          <w:rFonts w:hint="eastAsia"/>
        </w:rPr>
        <w:t>；对于</w:t>
      </w:r>
      <w:r>
        <w:rPr>
          <w:rFonts w:hint="eastAsia"/>
          <w:lang w:val="en-US" w:eastAsia="zh-CN"/>
        </w:rPr>
        <w:t>已添加的考生，可以进行批量删除操作，也可以导出相应的考生名单。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1610" cy="1482090"/>
            <wp:effectExtent l="9525" t="9525" r="24765" b="1333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86"/>
                    <a:srcRect t="157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82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</w:rPr>
        <w:t>手工指定考生时，点击</w:t>
      </w:r>
      <w:r>
        <w:rPr>
          <w:rFonts w:hint="eastAsia"/>
          <w:lang w:val="en-US" w:eastAsia="zh-CN"/>
        </w:rPr>
        <w:t>右侧</w:t>
      </w:r>
      <w:r>
        <w:rPr>
          <w:rFonts w:hint="eastAsia"/>
        </w:rPr>
        <w:t>“新增考生”，将弹出弹窗，</w:t>
      </w:r>
      <w:r>
        <w:rPr>
          <w:rFonts w:hint="eastAsia"/>
          <w:lang w:val="en-US" w:eastAsia="zh-CN"/>
        </w:rPr>
        <w:t>能通过多种检索条件筛选想要的考生；</w:t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可以勾选用户学工号前面的复选框并进行保存，添加考生；若未选中具体的考生，那么在点击“保存”或“保存并继续添加”后，系统将自动关联当前检索条件下的所有考生。</w:t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114300" distR="114300">
            <wp:extent cx="5270500" cy="2237740"/>
            <wp:effectExtent l="0" t="0" r="6350" b="1016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87"/>
                    <a:srcRect t="1198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宋体" w:hAnsi="宋体" w:eastAsia="宋体" w:cstheme="minorBidi"/>
          <w:b/>
          <w:iCs/>
          <w:smallCaps/>
          <w:spacing w:val="5"/>
          <w:kern w:val="2"/>
          <w:sz w:val="24"/>
          <w:szCs w:val="24"/>
          <w:lang w:val="en-US" w:eastAsia="zh-CN" w:bidi="ar-SA"/>
        </w:rPr>
      </w:pPr>
      <w:bookmarkStart w:id="26" w:name="_Toc18271"/>
      <w:r>
        <w:rPr>
          <w:rFonts w:hint="eastAsia" w:cstheme="minorBidi"/>
          <w:b/>
          <w:iCs/>
          <w:smallCaps/>
          <w:spacing w:val="5"/>
          <w:kern w:val="2"/>
          <w:sz w:val="24"/>
          <w:szCs w:val="24"/>
          <w:lang w:val="en-US" w:eastAsia="zh-CN" w:bidi="ar-SA"/>
        </w:rPr>
        <w:t>发布</w:t>
      </w:r>
      <w:bookmarkEnd w:id="26"/>
    </w:p>
    <w:p>
      <w:pPr>
        <w:rPr>
          <w:rFonts w:hint="eastAsia" w:cstheme="minorBidi"/>
          <w:b w:val="0"/>
          <w:bCs/>
          <w:iCs/>
          <w:smallCaps/>
          <w:spacing w:val="5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 w:val="0"/>
          <w:bCs/>
          <w:iCs/>
          <w:smallCaps/>
          <w:spacing w:val="5"/>
          <w:kern w:val="2"/>
          <w:sz w:val="24"/>
          <w:szCs w:val="24"/>
          <w:lang w:val="en-US" w:eastAsia="zh-CN" w:bidi="ar-SA"/>
        </w:rPr>
        <w:t>点击页面上方的“发布”，切换到发布模块。在此模块可确认考试配置的相关信息，确认无误后可进行“发布考试”操作。</w:t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需要注意的是，考试一旦发布，将不能对考试设置、组卷与学习内容模块进行修改；并且在考试正式开始后不可取消发布。</w:t>
      </w:r>
    </w:p>
    <w:p>
      <w:pPr>
        <w:pStyle w:val="2"/>
        <w:ind w:left="0" w:leftChars="0" w:firstLine="0" w:firstLineChars="0"/>
        <w:rPr>
          <w:rFonts w:hint="default" w:ascii="楷体" w:hAnsi="楷体" w:eastAsia="楷体"/>
          <w:lang w:val="en-US" w:eastAsia="zh-CN"/>
        </w:rPr>
      </w:pPr>
      <w:r>
        <w:drawing>
          <wp:inline distT="0" distB="0" distL="114300" distR="114300">
            <wp:extent cx="5267325" cy="1590675"/>
            <wp:effectExtent l="9525" t="9525" r="19050" b="1905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8"/>
                    <a:srcRect t="152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7" w:name="_Toc24569"/>
      <w:r>
        <w:rPr>
          <w:rFonts w:hint="eastAsia"/>
        </w:rPr>
        <w:t>监考</w:t>
      </w:r>
      <w:bookmarkEnd w:id="27"/>
    </w:p>
    <w:p>
      <w:pPr>
        <w:pStyle w:val="2"/>
        <w:spacing w:after="0"/>
        <w:ind w:left="0" w:leftChars="0" w:firstLine="480"/>
        <w:rPr>
          <w:rFonts w:hint="eastAsia"/>
        </w:rPr>
      </w:pPr>
      <w:r>
        <w:rPr>
          <w:rFonts w:hint="eastAsia"/>
        </w:rPr>
        <w:t>点击页面上方的“监考”，切换到监考模块。可查看考生考核情况，包括应考、在考、未考、已交卷人员信息。可按考生进行信息检索；点击“更新</w:t>
      </w:r>
      <w:r>
        <w:rPr>
          <w:rFonts w:hint="eastAsia"/>
          <w:lang w:val="en-US" w:eastAsia="zh-CN"/>
        </w:rPr>
        <w:t>学习时长</w:t>
      </w:r>
      <w:r>
        <w:rPr>
          <w:rFonts w:hint="eastAsia"/>
        </w:rPr>
        <w:t>”，更新监考信息；点击“导出”，导出监考信息。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4150" cy="1649730"/>
            <wp:effectExtent l="9525" t="9525" r="22225" b="1714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89"/>
                    <a:srcRect t="1518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49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对已交卷的考生，可进行“查看答卷”、“阅卷”、“退回”、“重考”操作。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73675" cy="1385570"/>
            <wp:effectExtent l="9525" t="9525" r="12700" b="14605"/>
            <wp:docPr id="12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9"/>
                    <pic:cNvPicPr>
                      <a:picLocks noChangeAspect="1"/>
                    </pic:cNvPicPr>
                  </pic:nvPicPr>
                  <pic:blipFill>
                    <a:blip r:embed="rId90"/>
                    <a:srcRect t="166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8" w:name="_Toc4100"/>
      <w:r>
        <w:rPr>
          <w:rFonts w:hint="eastAsia"/>
        </w:rPr>
        <w:t>成绩</w:t>
      </w:r>
      <w:bookmarkEnd w:id="28"/>
    </w:p>
    <w:p>
      <w:pPr>
        <w:ind w:firstLine="480"/>
      </w:pPr>
      <w:r>
        <w:rPr>
          <w:rFonts w:hint="eastAsia"/>
        </w:rPr>
        <w:t>点击页面上方的“成绩”，切换到成绩管理模块。在此模块，可根据学院、专业、年级、成绩状态（暂无、合格、不合格）、姓名和学工号检索考生成绩信息。</w:t>
      </w:r>
    </w:p>
    <w:p>
      <w:pPr>
        <w:ind w:firstLine="480"/>
        <w:rPr>
          <w:rFonts w:hint="eastAsia"/>
        </w:rPr>
      </w:pPr>
      <w:r>
        <w:rPr>
          <w:rFonts w:hint="eastAsia"/>
        </w:rPr>
        <w:t>若在考试设置中，设置了“要求考生做出承诺”，那么可打印考生承诺书；若本场考核设置了生成证书，那么对于考核通过的考生，可打印其证书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也可以批量打印所有考生的证书</w:t>
      </w:r>
      <w:r>
        <w:rPr>
          <w:rFonts w:hint="eastAsia"/>
        </w:rPr>
        <w:t>。</w:t>
      </w:r>
    </w:p>
    <w:p>
      <w:pPr>
        <w:ind w:firstLine="480"/>
        <w:rPr>
          <w:rFonts w:hint="eastAsia"/>
        </w:rPr>
      </w:pPr>
      <w:r>
        <w:rPr>
          <w:rFonts w:hint="eastAsia"/>
        </w:rPr>
        <w:t>点击“导出成绩”，可导出考生成绩。</w:t>
      </w:r>
    </w:p>
    <w:p>
      <w:pPr>
        <w:pStyle w:val="2"/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如果在考试开始后更改了本场考试所使用的证书模板内容，则需要在此模块点击“清空证书”，系统会自动更新证书内容。</w:t>
      </w:r>
    </w:p>
    <w:p>
      <w:pPr>
        <w:pStyle w:val="2"/>
        <w:spacing w:after="0"/>
        <w:ind w:left="0" w:leftChars="0" w:firstLine="0" w:firstLineChars="0"/>
        <w:jc w:val="center"/>
        <w:rPr>
          <w:rFonts w:hint="default" w:eastAsia="楷体"/>
          <w:lang w:val="en-US" w:eastAsia="zh-CN"/>
        </w:rPr>
      </w:pPr>
      <w:r>
        <w:drawing>
          <wp:inline distT="0" distB="0" distL="114300" distR="114300">
            <wp:extent cx="5273675" cy="1504315"/>
            <wp:effectExtent l="9525" t="9525" r="12700" b="10160"/>
            <wp:docPr id="12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0"/>
                    <pic:cNvPicPr>
                      <a:picLocks noChangeAspect="1"/>
                    </pic:cNvPicPr>
                  </pic:nvPicPr>
                  <pic:blipFill>
                    <a:blip r:embed="rId91"/>
                    <a:srcRect t="155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04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29" w:name="_Toc28619"/>
      <w:r>
        <w:rPr>
          <w:rFonts w:hint="eastAsia"/>
        </w:rPr>
        <w:t>统计</w:t>
      </w:r>
      <w:bookmarkEnd w:id="29"/>
    </w:p>
    <w:p>
      <w:pPr>
        <w:ind w:firstLine="480"/>
        <w:rPr>
          <w:rFonts w:hint="eastAsia"/>
        </w:rPr>
      </w:pPr>
      <w:r>
        <w:rPr>
          <w:rFonts w:hint="eastAsia"/>
        </w:rPr>
        <w:t>点击页面上方的“统计”，切换到统计模块，可查看本场考核的统计数据。</w:t>
      </w:r>
      <w:r>
        <w:rPr>
          <w:rFonts w:hint="eastAsia"/>
          <w:lang w:val="en-US" w:eastAsia="zh-CN"/>
        </w:rPr>
        <w:t>可以选择学院、专业，点击“搜索”，搜索相关的统计分析数据。</w:t>
      </w:r>
      <w:r>
        <w:rPr>
          <w:rFonts w:hint="eastAsia"/>
        </w:rPr>
        <w:t>鼠标移到</w:t>
      </w:r>
      <w:r>
        <w:rPr>
          <w:rFonts w:hint="eastAsia"/>
          <w:lang w:val="en-US" w:eastAsia="zh-CN"/>
        </w:rPr>
        <w:t>柱形</w:t>
      </w:r>
      <w:r>
        <w:rPr>
          <w:rFonts w:hint="eastAsia"/>
        </w:rPr>
        <w:t>图上时，将会看到相应的数据。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2142490"/>
            <wp:effectExtent l="9525" t="9525" r="19050" b="1968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92"/>
                    <a:srcRect t="124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2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在统计页面，点击左侧的“试题分析”可查看本场考核试题的错误率。可选择题型、知识标签和试题难度，点击“查询”，组合查询试题信息。选择任一试题，点击其右侧中的“</w:t>
      </w:r>
      <w:r>
        <w:drawing>
          <wp:inline distT="0" distB="0" distL="0" distR="0">
            <wp:extent cx="66675" cy="107315"/>
            <wp:effectExtent l="0" t="0" r="9525" b="698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9694" cy="1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”，可展开查看每个选项的选择率，即选择每一个选项的考生比例；选项左侧有图标“</w:t>
      </w:r>
      <w:r>
        <w:drawing>
          <wp:inline distT="0" distB="0" distL="0" distR="0">
            <wp:extent cx="111760" cy="132080"/>
            <wp:effectExtent l="0" t="0" r="2540" b="127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17083" cy="1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”的则为试题的正确答案。</w:t>
      </w:r>
    </w:p>
    <w:p>
      <w:pPr>
        <w:pStyle w:val="2"/>
        <w:spacing w:after="0"/>
        <w:ind w:left="0" w:leftChars="0" w:firstLine="480"/>
      </w:pPr>
      <w:r>
        <w:rPr>
          <w:rFonts w:hint="eastAsia"/>
        </w:rPr>
        <w:t>点击列表上方的“导出”，可导出试题分析。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2106295"/>
            <wp:effectExtent l="9525" t="9525" r="12065" b="1778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0" w:name="_Toc10356"/>
      <w:r>
        <w:rPr>
          <w:rFonts w:hint="eastAsia"/>
        </w:rPr>
        <w:t>证书模板管理</w:t>
      </w:r>
      <w:bookmarkEnd w:id="30"/>
    </w:p>
    <w:p>
      <w:pPr>
        <w:ind w:firstLine="480"/>
      </w:pPr>
      <w:r>
        <w:rPr>
          <w:rFonts w:hint="eastAsia"/>
        </w:rPr>
        <w:t>点击左侧菜单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考试管理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→</w:t>
      </w:r>
      <w:r>
        <w:rPr>
          <w:rFonts w:hint="eastAsia"/>
        </w:rPr>
        <w:t>“证书模板管理”，进入证书模板管理页面。在搜索框“输入模板名称”，点击“</w:t>
      </w:r>
      <w:r>
        <w:drawing>
          <wp:inline distT="0" distB="0" distL="0" distR="0">
            <wp:extent cx="128905" cy="128905"/>
            <wp:effectExtent l="0" t="0" r="4445" b="444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30995" cy="13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”可查询模板信息；</w:t>
      </w:r>
      <w:r>
        <w:rPr>
          <w:rFonts w:hint="eastAsia"/>
          <w:lang w:val="en-US" w:eastAsia="zh-CN"/>
        </w:rPr>
        <w:t>可查看</w:t>
      </w:r>
      <w:r>
        <w:rPr>
          <w:rFonts w:hint="eastAsia"/>
        </w:rPr>
        <w:t>已设置好的模板，</w:t>
      </w:r>
      <w:r>
        <w:rPr>
          <w:rFonts w:hint="eastAsia"/>
          <w:lang w:val="en-US" w:eastAsia="zh-CN"/>
        </w:rPr>
        <w:t>查看时只能编辑本单位创建的证书</w:t>
      </w:r>
      <w:r>
        <w:rPr>
          <w:rFonts w:hint="eastAsia"/>
        </w:rPr>
        <w:t>。点击右上方的“+</w:t>
      </w:r>
      <w:r>
        <w:t xml:space="preserve"> </w:t>
      </w:r>
      <w:r>
        <w:rPr>
          <w:rFonts w:hint="eastAsia"/>
        </w:rPr>
        <w:t>添加”按钮，进入编辑证书模板页面。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262880" cy="1817370"/>
            <wp:effectExtent l="9525" t="9525" r="23495" b="2095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97"/>
                    <a:srcRect t="1436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17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80"/>
        <w:rPr>
          <w:rFonts w:hint="eastAsia"/>
        </w:rPr>
      </w:pPr>
      <w:r>
        <w:rPr>
          <w:rFonts w:hint="eastAsia"/>
        </w:rPr>
        <w:t>在编辑证书模板页面，填写相应信息进行提交即可。可选择不使用证书背景，若使用证书背景，那么需要上传背景照片。</w:t>
      </w:r>
    </w:p>
    <w:p>
      <w:pPr>
        <w:pStyle w:val="2"/>
        <w:ind w:left="0" w:leftChars="0" w:firstLine="480"/>
      </w:pPr>
      <w:r>
        <w:rPr>
          <w:rFonts w:hint="eastAsia"/>
        </w:rPr>
        <w:t>在文本编辑框中，使用左侧的模板信息编辑证书内容。</w:t>
      </w:r>
    </w:p>
    <w:p>
      <w:pPr>
        <w:pStyle w:val="2"/>
        <w:ind w:left="0" w:leftChars="0" w:firstLine="480"/>
        <w:rPr>
          <w:rFonts w:ascii="宋体" w:hAnsi="宋体"/>
        </w:rPr>
      </w:pPr>
      <w:r>
        <w:rPr>
          <w:rFonts w:hint="eastAsia"/>
        </w:rPr>
        <w:t>编辑完成后，可点击页面下方的“预览”，预览证书。</w:t>
      </w:r>
      <w:r>
        <w:rPr>
          <w:rFonts w:hint="eastAsia" w:ascii="宋体" w:hAnsi="宋体"/>
        </w:rPr>
        <w:t>在预览证书页面，点击右上方的“</w:t>
      </w:r>
      <w:r>
        <w:rPr>
          <w:rFonts w:ascii="宋体" w:hAnsi="宋体"/>
        </w:rPr>
        <w:drawing>
          <wp:inline distT="0" distB="0" distL="0" distR="0">
            <wp:extent cx="128905" cy="113665"/>
            <wp:effectExtent l="0" t="0" r="4445" b="63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5945" cy="12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>”可关闭预览窗口，返回证书模板编辑页面。</w:t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2764790"/>
            <wp:effectExtent l="9525" t="9525" r="12065" b="26035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/>
                    <pic:cNvPicPr>
                      <a:picLocks noChangeAspect="1"/>
                    </pic:cNvPicPr>
                  </pic:nvPicPr>
                  <pic:blipFill>
                    <a:blip r:embed="rId99"/>
                    <a:srcRect t="73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0" distR="0">
            <wp:extent cx="5274310" cy="3275965"/>
            <wp:effectExtent l="9525" t="9525" r="12065" b="1016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100"/>
                    <a:srcRect b="1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1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theme="minorBidi"/>
          <w:b/>
          <w:smallCaps/>
          <w:spacing w:val="5"/>
          <w:kern w:val="2"/>
          <w:sz w:val="32"/>
          <w:szCs w:val="32"/>
          <w:lang w:val="en-US" w:eastAsia="zh-CN" w:bidi="ar-SA"/>
        </w:rPr>
      </w:pPr>
      <w:bookmarkStart w:id="31" w:name="_Toc16238"/>
      <w:r>
        <w:rPr>
          <w:rFonts w:hint="eastAsia" w:cstheme="minorBidi"/>
          <w:b/>
          <w:smallCaps/>
          <w:spacing w:val="5"/>
          <w:kern w:val="2"/>
          <w:sz w:val="32"/>
          <w:szCs w:val="32"/>
          <w:lang w:val="en-US" w:eastAsia="zh-CN" w:bidi="ar-SA"/>
        </w:rPr>
        <w:t>数据汇总</w:t>
      </w:r>
      <w:bookmarkEnd w:id="31"/>
    </w:p>
    <w:p>
      <w:pPr>
        <w:pStyle w:val="5"/>
      </w:pPr>
      <w:bookmarkStart w:id="32" w:name="_Toc7370"/>
      <w:r>
        <w:rPr>
          <w:rFonts w:hint="eastAsia"/>
        </w:rPr>
        <w:t>学习</w:t>
      </w:r>
      <w:r>
        <w:rPr>
          <w:rFonts w:hint="eastAsia"/>
          <w:lang w:val="en-US" w:eastAsia="zh-CN"/>
        </w:rPr>
        <w:t>记录</w:t>
      </w:r>
      <w:bookmarkEnd w:id="32"/>
    </w:p>
    <w:p>
      <w:pPr>
        <w:ind w:firstLine="480"/>
        <w:rPr>
          <w:rFonts w:hint="default" w:eastAsia="宋体"/>
          <w:lang w:val="en-US" w:eastAsia="zh-CN"/>
        </w:rPr>
      </w:pPr>
      <w:r>
        <w:rPr>
          <w:rFonts w:hint="eastAsia"/>
        </w:rPr>
        <w:t>点击左侧菜单“</w:t>
      </w:r>
      <w:r>
        <w:rPr>
          <w:rFonts w:hint="eastAsia"/>
          <w:lang w:val="en-US" w:eastAsia="zh-CN"/>
        </w:rPr>
        <w:t>数据汇总</w:t>
      </w:r>
      <w:r>
        <w:rPr>
          <w:rFonts w:hint="eastAsia"/>
        </w:rPr>
        <w:t>”→“学习记录”，可查看学习记录。</w:t>
      </w:r>
      <w:r>
        <w:rPr>
          <w:rFonts w:hint="eastAsia"/>
          <w:lang w:val="en-US" w:eastAsia="zh-CN"/>
        </w:rPr>
        <w:t>默认“按学院”展示各个学院的学习汇总情况，可通过切换上方选项卡，或选择某个学院并点击右侧的“查看详情”按钮，“按个人”查看学习记录。</w:t>
      </w:r>
    </w:p>
    <w:p>
      <w:pPr>
        <w:ind w:firstLine="0" w:firstLineChars="0"/>
      </w:pPr>
      <w:r>
        <w:drawing>
          <wp:inline distT="0" distB="0" distL="114300" distR="114300">
            <wp:extent cx="5262880" cy="1820545"/>
            <wp:effectExtent l="9525" t="9525" r="23495" b="17780"/>
            <wp:docPr id="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0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可通过学院、专业、用户类型、用户名对用户学习情况进行筛选，同时只有对信息进行检索后才能在“按个人”汇总页面进行“导出”操作。</w:t>
      </w:r>
    </w:p>
    <w:p>
      <w:pPr>
        <w:widowControl/>
        <w:ind w:firstLine="480"/>
        <w:jc w:val="left"/>
      </w:pPr>
      <w:r>
        <w:rPr>
          <w:rFonts w:hint="eastAsia"/>
        </w:rPr>
        <w:t>选择任一用户，点击列表右侧的“查看详情”，即可查看该用户每条安全知识、规章制度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微课堂等各类安全知识的</w:t>
      </w:r>
      <w:r>
        <w:rPr>
          <w:rFonts w:hint="eastAsia"/>
        </w:rPr>
        <w:t>学习情况。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0975" cy="1871345"/>
            <wp:effectExtent l="9525" t="9525" r="25400" b="24130"/>
            <wp:docPr id="1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71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bookmarkStart w:id="33" w:name="_Toc11851"/>
      <w:r>
        <w:rPr>
          <w:rFonts w:hint="eastAsia"/>
          <w:lang w:val="en-US" w:eastAsia="zh-CN"/>
        </w:rPr>
        <w:t>练习记录</w:t>
      </w:r>
      <w:bookmarkEnd w:id="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中的“练习记录”，可进行所有人员的练习记录管理。默认“按学院”展示各个学院的练习汇总情况，可通过切换上方选项卡，或选择某个学院并点击右侧的“查看详情”按钮，“按个人”查看学习记录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266690" cy="1943100"/>
            <wp:effectExtent l="9525" t="9525" r="19685" b="9525"/>
            <wp:docPr id="12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54"/>
                    <pic:cNvPicPr>
                      <a:picLocks noChangeAspect="1"/>
                    </pic:cNvPicPr>
                  </pic:nvPicPr>
                  <pic:blipFill>
                    <a:blip r:embed="rId103"/>
                    <a:srcRect t="135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可根据学院、专业、用户类型以及输入姓名或用户名，点击“查询”，可查询相应的练习记录；点击“重置”，可清空搜索条件；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点击“查看详情”，查看某一用户的具体练习情况。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9705" cy="1852295"/>
            <wp:effectExtent l="9525" t="9525" r="26670" b="24130"/>
            <wp:docPr id="1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852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4" w:name="_Toc3004"/>
      <w:r>
        <w:rPr>
          <w:rFonts w:hint="eastAsia"/>
          <w:lang w:val="en-US" w:eastAsia="zh-CN"/>
        </w:rPr>
        <w:t>成绩管理</w:t>
      </w:r>
      <w:bookmarkEnd w:id="34"/>
    </w:p>
    <w:p>
      <w:pPr>
        <w:ind w:firstLine="480"/>
        <w:jc w:val="left"/>
        <w:rPr>
          <w:rFonts w:hint="eastAsia"/>
          <w:lang w:val="en-US" w:eastAsia="zh-CN"/>
        </w:rPr>
      </w:pPr>
      <w:r>
        <w:rPr>
          <w:rFonts w:hint="eastAsia"/>
        </w:rPr>
        <w:t>点击左侧菜单“</w:t>
      </w:r>
      <w:r>
        <w:rPr>
          <w:rFonts w:hint="eastAsia"/>
          <w:lang w:val="en-US" w:eastAsia="zh-CN"/>
        </w:rPr>
        <w:t>成绩管理</w:t>
      </w:r>
      <w:r>
        <w:rPr>
          <w:rFonts w:hint="eastAsia"/>
        </w:rPr>
        <w:t>”，可</w:t>
      </w:r>
      <w:r>
        <w:rPr>
          <w:rFonts w:hint="eastAsia"/>
          <w:lang w:val="en-US" w:eastAsia="zh-CN"/>
        </w:rPr>
        <w:t>进行所有考试的成绩管理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在此模块，</w:t>
      </w:r>
      <w:r>
        <w:rPr>
          <w:rFonts w:hint="eastAsia"/>
          <w:lang w:val="en-US" w:eastAsia="zh-CN"/>
        </w:rPr>
        <w:t>考试名称是必选项，选择一场考试后，</w:t>
      </w:r>
      <w:r>
        <w:rPr>
          <w:rFonts w:hint="eastAsia"/>
        </w:rPr>
        <w:t>可根据学院、专业、年级、成绩状态（暂无、合格、不合格）、姓名和学工号检索考生成绩信息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点击“导出成绩”，把该场考试的考试成绩导出为excel表；</w:t>
      </w:r>
    </w:p>
    <w:p>
      <w:pPr>
        <w:ind w:firstLine="480"/>
        <w:jc w:val="left"/>
      </w:pPr>
      <w:r>
        <w:rPr>
          <w:rFonts w:hint="eastAsia"/>
          <w:lang w:val="en-US" w:eastAsia="zh-CN"/>
        </w:rPr>
        <w:t>若该场考试设置了承诺书或者证书，则可以对成绩进行“打印承诺书”、“打印证书”操作。</w:t>
      </w:r>
      <w:r>
        <w:drawing>
          <wp:inline distT="0" distB="0" distL="114300" distR="114300">
            <wp:extent cx="5271770" cy="1941195"/>
            <wp:effectExtent l="9525" t="9525" r="14605" b="11430"/>
            <wp:docPr id="1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4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5" w:name="_Toc20860"/>
      <w:r>
        <w:rPr>
          <w:rFonts w:hint="eastAsia"/>
        </w:rPr>
        <w:t>系统管理</w:t>
      </w:r>
      <w:bookmarkEnd w:id="35"/>
    </w:p>
    <w:p>
      <w:pPr>
        <w:pStyle w:val="5"/>
      </w:pPr>
      <w:bookmarkStart w:id="36" w:name="_Toc27185"/>
      <w:r>
        <w:rPr>
          <w:rFonts w:hint="eastAsia"/>
        </w:rPr>
        <w:t>知识标签</w:t>
      </w:r>
      <w:bookmarkEnd w:id="36"/>
    </w:p>
    <w:p>
      <w:pPr>
        <w:ind w:firstLine="480"/>
      </w:pPr>
      <w:r>
        <w:rPr>
          <w:rFonts w:hint="eastAsia"/>
        </w:rPr>
        <w:t>点击左侧菜单“系统管理”→“知识标签”，可进行知识标签管理。在搜索框中“输入标签名称”，点击“查询”，可查询标签信息；可对已有的知识标签进行“编辑”、“删除”操作。点击右上方的“添加标签”，可跳转到知识标签添加页面，学校可根据需求添加知识标签。</w:t>
      </w:r>
    </w:p>
    <w:p>
      <w:pPr>
        <w:ind w:firstLine="0" w:firstLineChars="0"/>
      </w:pPr>
      <w:r>
        <w:drawing>
          <wp:inline distT="0" distB="0" distL="114300" distR="114300">
            <wp:extent cx="5162550" cy="1805940"/>
            <wp:effectExtent l="9525" t="9525" r="9525" b="13335"/>
            <wp:docPr id="8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2"/>
                    <pic:cNvPicPr>
                      <a:picLocks noChangeAspect="1"/>
                    </pic:cNvPicPr>
                  </pic:nvPicPr>
                  <pic:blipFill>
                    <a:blip r:embed="rId106"/>
                    <a:srcRect l="1989" t="910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80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</w:rPr>
      </w:pPr>
      <w:r>
        <w:rPr>
          <w:rFonts w:hint="eastAsia"/>
        </w:rPr>
        <w:t>在知识标签添加页面，可编辑知识标签信息进行提交。状态默认为开启，即后续为某一安全知识</w:t>
      </w:r>
      <w:r>
        <w:t>/</w:t>
      </w:r>
      <w:r>
        <w:rPr>
          <w:rFonts w:hint="eastAsia"/>
        </w:rPr>
        <w:t>规章制度设置知识标签时，该标签将显示在下拉列表中；若将其关闭，那么该标签不会显示在下拉列表中。</w:t>
      </w:r>
    </w:p>
    <w:p>
      <w:pPr>
        <w:ind w:firstLine="480"/>
      </w:pPr>
      <w:r>
        <w:rPr>
          <w:rFonts w:hint="eastAsia"/>
        </w:rPr>
        <w:t>填写排序编号，可以调整标签在下拉列表中显示的先后顺序。</w:t>
      </w:r>
    </w:p>
    <w:p>
      <w:pPr>
        <w:pStyle w:val="2"/>
        <w:spacing w:after="0"/>
        <w:ind w:left="0" w:leftChars="0" w:firstLine="0" w:firstLine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984885</wp:posOffset>
                </wp:positionV>
                <wp:extent cx="9525" cy="1227455"/>
                <wp:effectExtent l="77470" t="0" r="84455" b="1079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37890" y="2196465"/>
                          <a:ext cx="9525" cy="12274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0.7pt;margin-top:77.55pt;height:96.65pt;width:0.75pt;z-index:251667456;mso-width-relative:page;mso-height-relative:page;" filled="f" stroked="t" coordsize="21600,21600" o:gfxdata="UEsDBAoAAAAAAIdO4kAAAAAAAAAAAAAAAAAEAAAAZHJzL1BLAwQUAAAACACHTuJAVBTIhNkAAAAL&#10;AQAADwAAAGRycy9kb3ducmV2LnhtbE2Py07DMBBF90j8gzVIbBC181QJcSoEajddEcreiYckamxH&#10;sfugX890VXYzukd3zpSrsxnZEWc/OCshWghgaFunB9tJ2H2tn5fAfFBWq9FZlPCLHlbV/V2pCu1O&#10;9hOPdegYlVhfKAl9CFPBuW97NMov3ISWsh83GxVonTuuZ3WicjPyWIicGzVYutCrCd97bPf1wUjY&#10;bC779fbpLYsTDNvaNeL747KT8vEhEq/AAp7DDYarPqlDRU6NO1jt2SghyaOUUAqyLAJGRJLHL8Aa&#10;GtJlCrwq+f8fqj9QSwMEFAAAAAgAh07iQOAAN0wbAgAA8AMAAA4AAABkcnMvZTJvRG9jLnhtbK1T&#10;zY7TMBC+I/EOlu80SbfttlXTPbSUC4KVgAdwHSex5D+NvU37ErwAEifgBJz2ztPA8hiMnbALy2UP&#10;5OCMPZ5v5vs8s7o4akUOAry0pqTFKKdEGG4raZqSvnm9ezKnxAdmKqasESU9CU8v1o8frTq3FGPb&#10;WlUJIAhi/LJzJW1DcMss87wVmvmRdcKgs7agWcAtNFkFrEN0rbJxns+yzkLlwHLhPZ5ueycdEOEh&#10;gLauJRdby6+0MKFHBaFYQEq+lc7Tdaq2rgUPL+vai0BUSZFpSCsmQXsf12y9YssGmGslH0pgDynh&#10;HifNpMGkt1BbFhi5AvkPlJYcrLd1GHGrs55IUgRZFPk9bV61zInEBaX27lZ0//9g+YvDJRBZlXQ6&#10;ocQwjS9+8+76x9uPN1+/fP9w/fPb+2h//kTQj2J1zi8xZmMuYdh5dwmR+bEGHf/IiRxLejY5O58v&#10;UOZTScfFYjaZTXuxxTEQjhcW0/GUEo7uYjw+n0yTO7vDceDDM2E1iUZJfQAmmzZsrDH4qhaKpDc7&#10;PPcBK8HA3wGxCGN3Uqn0uMqQDsuZFzkWwxl2bI2dgqZ2yNqbhhKmGhwFHiBBeqtkFcMjkIdmv1FA&#10;DgwbaLfL8Ys0MN1f12LuLfNtfy+5erZaBpwWJXVJ5zF46LjApHpqKhJODgVnALYbYJVB9Khyr2u0&#10;9rY6JbnTOTZCyj80bey0P/cp+m5Q1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BTIhNkAAAAL&#10;AQAADwAAAAAAAAABACAAAAAiAAAAZHJzL2Rvd25yZXYueG1sUEsBAhQAFAAAAAgAh07iQOAAN0wb&#10;AgAA8AMAAA4AAAAAAAAAAQAgAAAAKAEAAGRycy9lMm9Eb2MueG1sUEsFBgAAAAAGAAYAWQEAALUF&#10;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026660" cy="1225550"/>
            <wp:effectExtent l="9525" t="9525" r="12065" b="222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07"/>
                    <a:srcRect l="2889" t="7112" r="1806" b="58999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1225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5026660" cy="1854200"/>
            <wp:effectExtent l="9525" t="9525" r="12065" b="222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07"/>
                    <a:srcRect l="2889" t="48727" r="1806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1854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7" w:name="_Toc5536"/>
      <w:r>
        <w:rPr>
          <w:rFonts w:hint="eastAsia"/>
        </w:rPr>
        <w:t>学期管理</w:t>
      </w:r>
      <w:bookmarkEnd w:id="37"/>
    </w:p>
    <w:p>
      <w:pPr>
        <w:ind w:firstLine="480"/>
        <w:rPr>
          <w:rFonts w:hint="eastAsia"/>
        </w:rPr>
      </w:pPr>
      <w:r>
        <w:rPr>
          <w:rFonts w:hint="eastAsia"/>
        </w:rPr>
        <w:t>点击左侧菜单“系统管理”→“学期管理”，可进行学期管理。在搜索框中“输入关键字”，点击查询，可查询学期信息；可对已有的学期进行“编辑”、“删除”操作。</w:t>
      </w:r>
    </w:p>
    <w:p>
      <w:pPr>
        <w:ind w:firstLine="480"/>
        <w:rPr>
          <w:rFonts w:hint="eastAsia"/>
        </w:rPr>
      </w:pPr>
      <w:r>
        <w:rPr>
          <w:rFonts w:hint="eastAsia"/>
        </w:rPr>
        <w:t>点击右上方的“新增”，可跳转到学期添加页面，学校可根据需求添加相应的学期。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139055" cy="1621790"/>
            <wp:effectExtent l="9525" t="9525" r="13970" b="26035"/>
            <wp:docPr id="8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4"/>
                    <pic:cNvPicPr>
                      <a:picLocks noChangeAspect="1"/>
                    </pic:cNvPicPr>
                  </pic:nvPicPr>
                  <pic:blipFill>
                    <a:blip r:embed="rId108"/>
                    <a:srcRect l="2353" t="11442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1621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485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  <w:lang w:val="en-US" w:eastAsia="zh-CN"/>
        </w:rPr>
        <w:t>点击“新增”，可以跳转到学期添加界面</w:t>
      </w:r>
      <w:r>
        <w:rPr>
          <w:rFonts w:hint="eastAsia" w:ascii="宋体" w:hAnsi="宋体" w:cs="宋体"/>
        </w:rPr>
        <w:t>，可以对学期名称、开始</w:t>
      </w:r>
      <w:r>
        <w:rPr>
          <w:rFonts w:hint="eastAsia" w:ascii="宋体" w:hAnsi="宋体" w:cs="宋体"/>
          <w:lang w:val="en-US" w:eastAsia="zh-CN"/>
        </w:rPr>
        <w:t>时间、</w:t>
      </w:r>
      <w:r>
        <w:rPr>
          <w:rFonts w:hint="eastAsia" w:ascii="宋体" w:hAnsi="宋体" w:cs="宋体"/>
        </w:rPr>
        <w:t>结束时间、学年、学期以及是否是当前</w:t>
      </w:r>
      <w:r>
        <w:rPr>
          <w:rFonts w:hint="eastAsia" w:ascii="宋体" w:hAnsi="宋体" w:cs="宋体"/>
          <w:lang w:val="en-US" w:eastAsia="zh-CN"/>
        </w:rPr>
        <w:t>学年</w:t>
      </w:r>
      <w:r>
        <w:rPr>
          <w:rFonts w:hint="eastAsia" w:ascii="宋体" w:hAnsi="宋体" w:cs="宋体"/>
        </w:rPr>
        <w:t>进行选择与调整。</w:t>
      </w:r>
    </w:p>
    <w:p>
      <w:pPr>
        <w:pStyle w:val="2"/>
        <w:spacing w:after="0"/>
        <w:ind w:left="0" w:leftChars="0" w:firstLine="485" w:firstLine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cs="宋体"/>
        </w:rPr>
        <w:t>信息编辑完成后，点击“提交”，增加一个新的学期</w:t>
      </w:r>
      <w:r>
        <w:rPr>
          <w:rFonts w:hint="eastAsia" w:ascii="宋体" w:hAnsi="宋体" w:cs="宋体"/>
          <w:lang w:eastAsia="zh-CN"/>
        </w:rPr>
        <w:t>；</w:t>
      </w:r>
      <w:r>
        <w:rPr>
          <w:rFonts w:hint="eastAsia" w:ascii="宋体" w:hAnsi="宋体" w:cs="宋体"/>
        </w:rPr>
        <w:t>点击“取消”，放弃本次编辑</w:t>
      </w:r>
      <w:r>
        <w:rPr>
          <w:rFonts w:hint="eastAsia" w:ascii="宋体" w:hAnsi="宋体" w:cs="宋体"/>
          <w:lang w:eastAsia="zh-CN"/>
        </w:rPr>
        <w:t>；</w:t>
      </w:r>
      <w:r>
        <w:rPr>
          <w:rFonts w:hint="eastAsia" w:ascii="宋体" w:hAnsi="宋体" w:cs="宋体"/>
        </w:rPr>
        <w:t>之后可以通过编辑按钮重新更改有关信息</w:t>
      </w:r>
      <w:r>
        <w:rPr>
          <w:rFonts w:hint="eastAsia" w:ascii="宋体" w:hAnsi="宋体" w:cs="宋体"/>
          <w:lang w:eastAsia="zh-CN"/>
        </w:rPr>
        <w:t>。</w:t>
      </w:r>
    </w:p>
    <w:p>
      <w:pPr>
        <w:pStyle w:val="2"/>
        <w:spacing w:after="0"/>
        <w:ind w:left="0" w:leftChars="0" w:firstLine="485" w:firstLineChars="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后续在“考试管理”→“常规考试”中新增或者管理已有考试时，可以在学期选项的下拉列表中选择相对应的学期。</w:t>
      </w:r>
    </w:p>
    <w:p>
      <w:pPr>
        <w:pStyle w:val="2"/>
        <w:spacing w:after="0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2685415</wp:posOffset>
                </wp:positionH>
                <wp:positionV relativeFrom="paragraph">
                  <wp:posOffset>1521460</wp:posOffset>
                </wp:positionV>
                <wp:extent cx="9525" cy="447675"/>
                <wp:effectExtent l="79375" t="635" r="82550" b="8890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99840" y="2799715"/>
                          <a:ext cx="9525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45pt;margin-top:119.8pt;height:35.25pt;width:0.75pt;z-index:251668480;mso-width-relative:page;mso-height-relative:page;" filled="f" stroked="t" coordsize="21600,21600" o:gfxdata="UEsDBAoAAAAAAIdO4kAAAAAAAAAAAAAAAAAEAAAAZHJzL1BLAwQUAAAACACHTuJA60IsItoAAAAL&#10;AQAADwAAAGRycy9kb3ducmV2LnhtbE2Py07DMBBF90j8gzVIbBC144SqDXEqBGo3XTWUvRNPk6jx&#10;OIrdB/16zAqWo3t075lidbUDO+Pke0cKkpkAhtQ401OrYP+5fl4A80GT0YMjVPCNHlbl/V2hc+Mu&#10;tMNzFVoWS8jnWkEXwphz7psOrfYzNyLF7OAmq0M8p5abSV9iuR24FGLOre4pLnR6xPcOm2N1sgo2&#10;m9txvX16e5Ephm3lavH1cdsr9fiQiFdgAa/hD4Zf/agOZXSq3YmMZ4OCTMplRBXIdDkHFolMZhmw&#10;WkGaiAR4WfD/P5Q/UEsDBBQAAAAIAIdO4kAd5f8JGAIAAO8DAAAOAAAAZHJzL2Uyb0RvYy54bWyt&#10;U82O0zAQviPxDpbvNGlptz9quoeWckFQCfYBXMdJLPlPY2/TvgQvgMQJOLGc9s7TwO5jMHbCLiyX&#10;PZCDM/Z4vpnvm/Hy/KgVOQjw0pqCDgc5JcJwW0pTF/Ti3fbZjBIfmCmZskYU9CQ8PV89fbJs3UKM&#10;bGNVKYAgiPGL1hW0CcEtsszzRmjmB9YJg87KgmYBt1BnJbAW0bXKRnl+lrUWSgeWC+/xdNM5aY8I&#10;jwG0VSW52Fh+qYUJHSoIxQJS8o10nq5StVUleHhTVV4EogqKTENaMQna+7hmqyVb1MBcI3lfAntM&#10;CQ84aSYNJr2D2rDAyCXIf6C05GC9rcKAW511RJIiyGKYP9DmbcOcSFxQau/uRPf/D5a/PuyAyLKg&#10;E+y7YRo7fvPh+uf7zzffrn58ur79/jHaX78Q9KNYrfMLjFmbHfQ773YQmR8r0PGPnMixoM+n8/ls&#10;jDKfCjpCezqcdGKLYyAcL8wnowklHN3j8fRsmrzZPYwDH14Kq0k0CuoDMFk3YW2NwaZaGCa52eGV&#10;D1gIBv4OiDUYu5VKpd4qQ1qsZjbMsRbOcGArHBQ0tUPS3tSUMFXjS+ABEqS3SpYxPAJ5qPdrBeTA&#10;cH622xy/yALT/XUt5t4w33T3kqsjq2XAx6KkLugsBvcDF5hUL0xJwsmh3gzAtj2sMogeRe5kjdbe&#10;lqekdjrHOUj5+5mNg/bnPkXfv9PV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OtCLCLaAAAACwEA&#10;AA8AAAAAAAAAAQAgAAAAIgAAAGRycy9kb3ducmV2LnhtbFBLAQIUABQAAAAIAIdO4kAd5f8JGAIA&#10;AO8DAAAOAAAAAAAAAAEAIAAAACkBAABkcnMvZTJvRG9jLnhtbFBLBQYAAAAABgAGAFkBAACzBQAA&#10;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46675" cy="1659890"/>
            <wp:effectExtent l="9525" t="9525" r="25400" b="26035"/>
            <wp:docPr id="8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5"/>
                    <pic:cNvPicPr>
                      <a:picLocks noChangeAspect="1"/>
                    </pic:cNvPicPr>
                  </pic:nvPicPr>
                  <pic:blipFill>
                    <a:blip r:embed="rId109"/>
                    <a:srcRect l="2173" b="57315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165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</w:pPr>
      <w:r>
        <w:drawing>
          <wp:inline distT="0" distB="0" distL="114300" distR="114300">
            <wp:extent cx="5146675" cy="2040890"/>
            <wp:effectExtent l="9525" t="9525" r="25400" b="26035"/>
            <wp:docPr id="5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/>
                    <pic:cNvPicPr>
                      <a:picLocks noChangeAspect="1"/>
                    </pic:cNvPicPr>
                  </pic:nvPicPr>
                  <pic:blipFill>
                    <a:blip r:embed="rId109"/>
                    <a:srcRect l="2173" t="47518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204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Theme="minorEastAsia" w:cstheme="minorBidi"/>
          <w:b/>
          <w:smallCaps/>
          <w:kern w:val="2"/>
          <w:sz w:val="28"/>
          <w:szCs w:val="24"/>
          <w:lang w:val="en-US" w:eastAsia="zh-CN" w:bidi="ar-SA"/>
        </w:rPr>
      </w:pPr>
      <w:bookmarkStart w:id="38" w:name="_Toc22618"/>
      <w:r>
        <w:rPr>
          <w:rFonts w:hint="eastAsia" w:cstheme="minorBidi"/>
          <w:b/>
          <w:smallCaps/>
          <w:kern w:val="2"/>
          <w:sz w:val="28"/>
          <w:szCs w:val="24"/>
          <w:lang w:val="en-US" w:eastAsia="zh-CN" w:bidi="ar-SA"/>
        </w:rPr>
        <w:t>文件管理</w:t>
      </w:r>
      <w:bookmarkEnd w:id="38"/>
    </w:p>
    <w:p>
      <w:pPr>
        <w:rPr>
          <w:rFonts w:hint="eastAsia"/>
          <w:lang w:val="en-US" w:eastAsia="zh-CN"/>
        </w:rPr>
      </w:pPr>
      <w:r>
        <w:rPr>
          <w:rFonts w:hint="eastAsia"/>
        </w:rPr>
        <w:t>点击左侧菜单“</w:t>
      </w:r>
      <w:r>
        <w:rPr>
          <w:rFonts w:hint="eastAsia"/>
          <w:lang w:val="en-US" w:eastAsia="zh-CN"/>
        </w:rPr>
        <w:t>文件</w:t>
      </w:r>
      <w:r>
        <w:rPr>
          <w:rFonts w:hint="eastAsia"/>
        </w:rPr>
        <w:t>管理”，可对</w:t>
      </w:r>
      <w:r>
        <w:rPr>
          <w:rFonts w:hint="eastAsia"/>
          <w:lang w:val="en-US" w:eastAsia="zh-CN"/>
        </w:rPr>
        <w:t>前台首页供学生下载的文件</w:t>
      </w:r>
      <w:r>
        <w:rPr>
          <w:rFonts w:hint="eastAsia"/>
        </w:rPr>
        <w:t>进行管理。</w:t>
      </w:r>
      <w:r>
        <w:rPr>
          <w:rFonts w:hint="eastAsia"/>
          <w:lang w:val="en-US" w:eastAsia="zh-CN"/>
        </w:rPr>
        <w:t>可输入文件名称，点击“查询”，查询文件信息；对已有的文件可进行“下载”、“编辑”、“删除”操作；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点击右上角的“上传文件”按钮，可添加新文件。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151755" cy="1007745"/>
            <wp:effectExtent l="9525" t="9525" r="20320" b="11430"/>
            <wp:docPr id="9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6"/>
                    <pic:cNvPicPr>
                      <a:picLocks noChangeAspect="1"/>
                    </pic:cNvPicPr>
                  </pic:nvPicPr>
                  <pic:blipFill>
                    <a:blip r:embed="rId110"/>
                    <a:srcRect l="2171" t="17214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1007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9" w:name="_Toc4105"/>
      <w:r>
        <w:rPr>
          <w:rFonts w:hint="eastAsia"/>
          <w:lang w:val="en-US" w:eastAsia="zh-CN"/>
        </w:rPr>
        <w:t>轮播</w:t>
      </w:r>
      <w:r>
        <w:rPr>
          <w:rFonts w:hint="eastAsia"/>
        </w:rPr>
        <w:t>管理</w:t>
      </w:r>
      <w:bookmarkEnd w:id="39"/>
    </w:p>
    <w:p>
      <w:pPr>
        <w:ind w:firstLine="480"/>
      </w:pPr>
      <w:r>
        <w:rPr>
          <w:rFonts w:hint="eastAsia"/>
        </w:rPr>
        <w:t>点击左侧菜单“轮播管理”，可对平台首页展示的轮播图进行管理。可对已设置好的轮播图进行“编辑”、“删除”操作。点击右上方的“添加轮播图”，进入轮播管理页面，编辑轮播图信息。</w:t>
      </w:r>
    </w:p>
    <w:p>
      <w:pPr>
        <w:ind w:firstLine="480"/>
      </w:pPr>
      <w:r>
        <w:rPr>
          <w:rFonts w:hint="eastAsia"/>
        </w:rPr>
        <w:t>系统默认将新添加的轮播图显示在前台首页，若有的轮播图不想要显示在前台，那么切换“是否显示”设置为“否”即可。</w:t>
      </w:r>
    </w:p>
    <w:p>
      <w:pPr>
        <w:ind w:firstLine="480"/>
      </w:pPr>
      <w:r>
        <w:rPr>
          <w:rFonts w:hint="eastAsia"/>
        </w:rPr>
        <w:t>上传封面，即为轮播图，对于已上传的轮播图，点击图片右上角的“</w:t>
      </w:r>
      <w:r>
        <w:drawing>
          <wp:inline distT="0" distB="0" distL="0" distR="0">
            <wp:extent cx="95250" cy="9525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118" cy="9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”即可删除图片。</w:t>
      </w:r>
    </w:p>
    <w:p>
      <w:pPr>
        <w:ind w:firstLine="480"/>
      </w:pPr>
      <w:r>
        <w:rPr>
          <w:rFonts w:hint="eastAsia"/>
        </w:rPr>
        <w:t>可设置跳转路径，即用户在前台点击此轮播图时，跳转到相应链接页面；此处可不设置。</w:t>
      </w:r>
    </w:p>
    <w:p>
      <w:pPr>
        <w:pStyle w:val="2"/>
        <w:spacing w:after="0"/>
        <w:ind w:left="0" w:leftChars="0" w:firstLine="0" w:firstLine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541020</wp:posOffset>
                </wp:positionV>
                <wp:extent cx="9525" cy="628650"/>
                <wp:effectExtent l="78740" t="0" r="83185" b="0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42740" y="2941320"/>
                          <a:ext cx="9525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6.2pt;margin-top:42.6pt;height:49.5pt;width:0.75pt;z-index:251669504;mso-width-relative:page;mso-height-relative:page;" filled="f" stroked="t" coordsize="21600,21600" o:gfxdata="UEsDBAoAAAAAAIdO4kAAAAAAAAAAAAAAAAAEAAAAZHJzL1BLAwQUAAAACACHTuJA903GgtoAAAAK&#10;AQAADwAAAGRycy9kb3ducmV2LnhtbE2Py07DMBBF90j8gzVIbFBr101pCHEqBGo3XRHavRMPSdR4&#10;HMXug349ZlWWo3t075l8dbE9O+HoO0cKZlMBDKl2pqNGwe5rPUmB+aDJ6N4RKvhBD6vi/i7XmXFn&#10;+sRTGRoWS8hnWkEbwpBx7usWrfZTNyDF7NuNVod4jg03oz7HcttzKcQzt7qjuNDqAd9brA/l0SrY&#10;bK6H9fbpbSHnGLalq8T+47pT6vFhJl6BBbyEGwx/+lEdiuhUuSMZz3oFyVImEVWQLiSwCCTL+Quw&#10;KpJpIoEXOf//QvELUEsDBBQAAAAIAIdO4kA6OYyTGQIAAO8DAAAOAAAAZHJzL2Uyb0RvYy54bWyt&#10;U82O0zAQviPxDpbvNE22Ld2q6R5aygVBJeABXMdJLPlPY2/TvgQvgMQJOLGc9s7TwPIYjJ2wC8tl&#10;D+TgjD2eb+b7PLO8OGpFDgK8tKak+WhMiTDcVtI0JX37ZvtkTokPzFRMWSNKehKeXqweP1p2biEK&#10;21pVCSAIYvyicyVtQ3CLLPO8FZr5kXXCoLO2oFnALTRZBaxDdK2yYjyeZZ2FyoHlwns83fROOiDC&#10;QwBtXUsuNpZfamFCjwpCsYCUfCudp6tUbV0LHl7VtReBqJIi05BWTIL2Pq7ZaskWDTDXSj6UwB5S&#10;wj1OmkmDSW+hNiwwcgnyHygtOVhv6zDiVmc9kaQIssjH97R53TInEheU2rtb0f3/g+UvDzsgsirp&#10;rKDEMI0vfvP++se7Tzdfr75/vP757UO0v3wm6EexOucXGLM2Oxh23u0gMj/WoOMfOZFjSSf5pHg6&#10;QZlPJS3OJ/lZMYgtjoFwvHA+LaaUcHTPivlsmrzZHYwDH54Lq0k0SuoDMNm0YW2NwUe1kCe52eGF&#10;D1gIBv4OiDUYu5VKpbdVhnQlPZvnY6yFM2zYGhsFTe2QtDcNJUw1OAk8QIL0VskqhkcgD81+rYAc&#10;GPbPdjvGL6qA6f66FnNvmG/7e8nVd5aWAYdFSV3SeQweNAhMqmemIuHkUG8GYLsBVhlEjyL3skZr&#10;b6tTUjudYx+k/EPPxkb7c5+i7+Z09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3TcaC2gAAAAoB&#10;AAAPAAAAAAAAAAEAIAAAACIAAABkcnMvZG93bnJldi54bWxQSwECFAAUAAAACACHTuJAOjmMkxkC&#10;AADvAwAADgAAAAAAAAABACAAAAApAQAAZHJzL2Uyb0RvYy54bWxQSwUGAAAAAAYABgBZAQAAtAUA&#10;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150485" cy="629285"/>
            <wp:effectExtent l="9525" t="9525" r="21590" b="2794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111"/>
                    <a:srcRect l="2348" t="5262" b="7962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62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2999740</wp:posOffset>
                </wp:positionH>
                <wp:positionV relativeFrom="paragraph">
                  <wp:posOffset>1224915</wp:posOffset>
                </wp:positionV>
                <wp:extent cx="9525" cy="628650"/>
                <wp:effectExtent l="78740" t="0" r="83185" b="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6.2pt;margin-top:96.45pt;height:49.5pt;width:0.75pt;z-index:251670528;mso-width-relative:page;mso-height-relative:page;" filled="f" stroked="t" coordsize="21600,21600" o:gfxdata="UEsDBAoAAAAAAIdO4kAAAAAAAAAAAAAAAAAEAAAAZHJzL1BLAwQUAAAACACHTuJAozxWLdoAAAAL&#10;AQAADwAAAGRycy9kb3ducmV2LnhtbE2Py07DMBBF90j8gzVIbFBrxw0tCXEqBGo3XRHK3omHJGps&#10;R7H7oF/PsILdjO7RnTPF+mIHdsIp9N4pSOYCGLrGm961CvYfm9kTsBC1M3rwDhV8Y4B1eXtT6Nz4&#10;s3vHUxVbRiUu5FpBF+OYcx6aDq0Ocz+io+zLT1ZHWqeWm0mfqdwOXAqx5Fb3ji50esTXDptDdbQK&#10;ttvrYbN7eHmUC4y7ytfi8+26V+r+LhHPwCJe4h8Mv/qkDiU51f7oTGCDgnQlU0IpyGQGjIh0taCh&#10;ViCzJANeFvz/D+UPUEsDBBQAAAAIAIdO4kAQriAICwIAAOMDAAAOAAAAZHJzL2Uyb0RvYy54bWyt&#10;U82O0zAQviPxDpbvNG1XrUrVdA8t5YKgEvAAruMklvynGW/TvgQvgMQJOAGnve/TwPIYjJ3SheWy&#10;B3JIxp7MN/6++by4PFjD9gpQe1fy0WDImXLSV9o1JX/7ZvNkxhlG4SphvFMlPyrkl8vHjxZdmKux&#10;b72pFDACcTjvQsnbGMO8KFC2ygoc+KAcJWsPVkRaQlNUIDpCt6YYD4fTovNQBfBSIdLuuk/yEyI8&#10;BNDXtZZq7eWVVS72qKCMiEQJWx2QL/Np61rJ+KquUUVmSk5MY35TE4p36V0sF2LegAitlqcjiIcc&#10;4R4nK7SjpmeotYiCXYH+B8pqCR59HQfS26InkhUhFqPhPW1etyKozIWkxnAWHf8frHy53wLTVcmn&#10;F5w5YWnit++vf7z7dPvt6/eP1z9vPqT4y2dGeRKrCzinmpXbwmmFYQuJ+aEGm77EiR2ywMezwOoQ&#10;maTNp5PxhDNJiel4Np1k+Yu70gAYnytvWQpKjhGEbtq48s7RID2MssRi/wIjNafC3wWpr/MbbUye&#10;p3GsK/nFbDSkMUtBJq3JHBTaQETRNZwJ05D7ZYQMid7oKpUnIIRmtzLA9oI8s9kM6UnMqd1fv6Xe&#10;a4Ft/19O9W6yOtIFMdqWfJaKTyaLQptnrmLxGEhjAeC7E6xxhJ6E7aVM0c5Xx6xw3qfZ5/4nnyZz&#10;/bnO1Xd3c/k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zxWLdoAAAALAQAADwAAAAAAAAABACAA&#10;AAAiAAAAZHJzL2Rvd25yZXYueG1sUEsBAhQAFAAAAAgAh07iQBCuIAgLAgAA4wMAAA4AAAAAAAAA&#10;AQAgAAAAKQEAAGRycy9lMm9Eb2MueG1sUEsFBgAAAAAGAAYAWQEAAKY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150485" cy="1400810"/>
            <wp:effectExtent l="9525" t="9525" r="21590" b="1841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11"/>
                    <a:srcRect l="2348" t="26083" b="40268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14008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5150485" cy="1372235"/>
            <wp:effectExtent l="9525" t="9525" r="21590" b="279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11"/>
                    <a:srcRect l="2348" t="67038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1372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Theme="minorEastAsia" w:cstheme="minorBidi"/>
          <w:b/>
          <w:smallCaps/>
          <w:kern w:val="2"/>
          <w:sz w:val="28"/>
          <w:szCs w:val="24"/>
          <w:lang w:val="en-US" w:eastAsia="zh-CN" w:bidi="ar-SA"/>
        </w:rPr>
      </w:pPr>
      <w:bookmarkStart w:id="40" w:name="_Toc15514"/>
      <w:r>
        <w:rPr>
          <w:rFonts w:hint="eastAsia" w:cstheme="minorBidi"/>
          <w:b/>
          <w:smallCaps/>
          <w:kern w:val="2"/>
          <w:sz w:val="28"/>
          <w:szCs w:val="24"/>
          <w:lang w:val="en-US" w:eastAsia="zh-CN" w:bidi="ar-SA"/>
        </w:rPr>
        <w:t>系统设置</w:t>
      </w:r>
      <w:bookmarkEnd w:id="40"/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</w:rPr>
        <w:t>点击左侧菜单“</w:t>
      </w:r>
      <w:r>
        <w:rPr>
          <w:rFonts w:hint="eastAsia"/>
          <w:lang w:val="en-US" w:eastAsia="zh-CN"/>
        </w:rPr>
        <w:t>系统设置</w:t>
      </w:r>
      <w:r>
        <w:rPr>
          <w:rFonts w:hint="eastAsia"/>
        </w:rPr>
        <w:t>”，可对</w:t>
      </w:r>
      <w:r>
        <w:rPr>
          <w:rFonts w:hint="eastAsia"/>
          <w:lang w:val="en-US" w:eastAsia="zh-CN"/>
        </w:rPr>
        <w:t>考试系统相关信息进行设置，包括学习端名称、logo、系统开启/关闭、考生IP段限制等；</w:t>
      </w:r>
    </w:p>
    <w:p>
      <w:pPr>
        <w:pStyle w:val="2"/>
        <w:spacing w:after="0"/>
        <w:ind w:left="0" w:leftChars="0" w:firstLine="0" w:firstLineChars="0"/>
        <w:jc w:val="center"/>
        <w:rPr>
          <w:rFonts w:hint="default" w:eastAsia="楷体"/>
          <w:lang w:val="en-US" w:eastAsia="zh-CN"/>
        </w:rPr>
      </w:pPr>
      <w:r>
        <w:drawing>
          <wp:inline distT="0" distB="0" distL="114300" distR="114300">
            <wp:extent cx="5266690" cy="2421890"/>
            <wp:effectExtent l="9525" t="9525" r="19685" b="26035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1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因特殊原因需要暂时关闭系统的，可以选中“系统关闭”。设置系统关闭时间、消息通知内容、消息通知周期；保存配置后，若用户在系统关闭期间登录，则会以消息通知的内容告知用户，且用户不能继续使用系统。</w:t>
      </w:r>
    </w:p>
    <w:p>
      <w:pPr>
        <w:pStyle w:val="2"/>
        <w:spacing w:after="0"/>
        <w:ind w:left="0" w:leftChars="0" w:firstLine="0" w:firstLineChars="0"/>
        <w:jc w:val="center"/>
        <w:rPr>
          <w:rFonts w:hint="default" w:eastAsia="楷体"/>
          <w:lang w:val="en-US" w:eastAsia="zh-CN"/>
        </w:rPr>
      </w:pPr>
      <w:r>
        <w:drawing>
          <wp:inline distT="0" distB="0" distL="114300" distR="114300">
            <wp:extent cx="5264785" cy="2421255"/>
            <wp:effectExtent l="9525" t="9525" r="21590" b="26670"/>
            <wp:docPr id="13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0"/>
                    <pic:cNvPicPr>
                      <a:picLocks noChangeAspect="1"/>
                    </pic:cNvPicPr>
                  </pic:nvPicPr>
                  <pic:blipFill>
                    <a:blip r:embed="rId113"/>
                    <a:srcRect t="960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1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/>
          <w:lang w:val="en-US"/>
        </w:rPr>
      </w:pPr>
      <w:bookmarkStart w:id="41" w:name="_Toc634"/>
      <w:r>
        <w:rPr>
          <w:rFonts w:hint="eastAsia"/>
          <w:lang w:val="en-US" w:eastAsia="zh-CN"/>
        </w:rPr>
        <w:t>个人中心</w:t>
      </w:r>
      <w:bookmarkEnd w:id="41"/>
    </w:p>
    <w:p>
      <w:pPr>
        <w:pStyle w:val="5"/>
      </w:pPr>
      <w:bookmarkStart w:id="42" w:name="_Toc15055"/>
      <w:r>
        <w:rPr>
          <w:rFonts w:hint="eastAsia"/>
          <w:lang w:val="en-US" w:eastAsia="zh-CN"/>
        </w:rPr>
        <w:t>题库练习</w:t>
      </w:r>
      <w:bookmarkEnd w:id="4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菜单“个人中心”→“题库练习”，可进行题库练习管理。在搜索框中“输入关键字”，点击查询，可以对当前所有题库进行检索；点击“在线练习”，对某一题库中的题目进行练习；点击“练习记录”，查看自己所有的练习记录。</w:t>
      </w:r>
    </w:p>
    <w:p>
      <w:pPr>
        <w:pStyle w:val="2"/>
        <w:spacing w:after="0"/>
        <w:ind w:left="0" w:leftChars="0" w:firstLine="0" w:firstLineChars="0"/>
        <w:jc w:val="center"/>
        <w:rPr>
          <w:rFonts w:hint="default" w:eastAsia="楷体"/>
          <w:lang w:val="en-US" w:eastAsia="zh-CN"/>
        </w:rPr>
      </w:pPr>
      <w:r>
        <w:drawing>
          <wp:inline distT="0" distB="0" distL="114300" distR="114300">
            <wp:extent cx="5260975" cy="2158365"/>
            <wp:effectExtent l="9525" t="9525" r="25400" b="22860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58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在线练习”，会弹出弹窗，可以选择上一次练习的进度“继续练习”或者选择“重新开始”。在线练习界面中，左侧会提示练习时长、答题进度以及答题情况（当前题目、答案正确、答案错误、未答题目）。</w:t>
      </w:r>
    </w:p>
    <w:p>
      <w:pPr>
        <w:pStyle w:val="2"/>
        <w:spacing w:after="0"/>
        <w:ind w:left="0" w:leftChars="0" w:firstLine="0" w:firstLineChars="0"/>
        <w:jc w:val="center"/>
        <w:rPr>
          <w:rFonts w:hint="eastAsia" w:eastAsia="楷体"/>
          <w:lang w:val="en-US" w:eastAsia="zh-CN"/>
        </w:rPr>
      </w:pPr>
      <w:r>
        <w:drawing>
          <wp:inline distT="0" distB="0" distL="114300" distR="114300">
            <wp:extent cx="5175885" cy="2613660"/>
            <wp:effectExtent l="9525" t="9525" r="15240" b="24765"/>
            <wp:docPr id="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2"/>
                    <pic:cNvPicPr>
                      <a:picLocks noChangeAspect="1"/>
                    </pic:cNvPicPr>
                  </pic:nvPicPr>
                  <pic:blipFill>
                    <a:blip r:embed="rId115"/>
                    <a:srcRect l="1807" t="6476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613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系统默认从未答题目中的第一道题目开始练习，选择答案后不能更改，若答案正确，勾选框会变成灰色并且无法选中；若答案错误则会在选项下方提示正确答案，同样无法选中。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练习试卷采用分页的方式，点击“下一页”，即可练习其他试题；点击“返回”，保存当前答题进度并返回到题库练习管理界面。</w:t>
      </w:r>
    </w:p>
    <w:p>
      <w:pPr>
        <w:pStyle w:val="5"/>
      </w:pPr>
      <w:bookmarkStart w:id="43" w:name="_Toc28127"/>
      <w:r>
        <w:rPr>
          <w:rFonts w:hint="eastAsia"/>
          <w:lang w:val="en-US" w:eastAsia="zh-CN"/>
        </w:rPr>
        <w:t>常规考试</w:t>
      </w:r>
      <w:bookmarkEnd w:id="43"/>
    </w:p>
    <w:p>
      <w:pPr>
        <w:rPr>
          <w:rFonts w:hint="eastAsia"/>
          <w:lang w:val="en-US" w:eastAsia="zh-CN"/>
        </w:rPr>
      </w:pPr>
      <w:r>
        <w:rPr>
          <w:rFonts w:hint="eastAsia"/>
        </w:rPr>
        <w:t>点击左侧菜单“</w:t>
      </w:r>
      <w:r>
        <w:rPr>
          <w:rFonts w:hint="eastAsia"/>
          <w:lang w:val="en-US" w:eastAsia="zh-CN"/>
        </w:rPr>
        <w:t>常规考试</w:t>
      </w:r>
      <w:r>
        <w:rPr>
          <w:rFonts w:hint="eastAsia"/>
        </w:rPr>
        <w:t>”，可进行</w:t>
      </w:r>
      <w:r>
        <w:rPr>
          <w:rFonts w:hint="eastAsia"/>
          <w:lang w:val="en-US" w:eastAsia="zh-CN"/>
        </w:rPr>
        <w:t>常规考试</w:t>
      </w:r>
      <w:r>
        <w:rPr>
          <w:rFonts w:hint="eastAsia"/>
        </w:rPr>
        <w:t>管理。</w:t>
      </w:r>
      <w:r>
        <w:rPr>
          <w:rFonts w:hint="eastAsia"/>
          <w:lang w:val="en-US" w:eastAsia="zh-CN"/>
        </w:rPr>
        <w:t>可以在搜索框中“输入关键字”，对进行中或是已经结束的考试进行检索；点击“开始考试”，以管理员身份进行考试，通过开始考试到交卷的整体流程来查看考试的预期效果。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完成答题后，在考试界面点击“交卷”，会自动跳转到成绩界面，可以查看本次考试的结果。</w:t>
      </w:r>
    </w:p>
    <w:p>
      <w:pPr>
        <w:pStyle w:val="2"/>
        <w:spacing w:after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175250" cy="1903730"/>
            <wp:effectExtent l="9525" t="9525" r="15875" b="10795"/>
            <wp:docPr id="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3"/>
                    <pic:cNvPicPr>
                      <a:picLocks noChangeAspect="1"/>
                    </pic:cNvPicPr>
                  </pic:nvPicPr>
                  <pic:blipFill>
                    <a:blip r:embed="rId116"/>
                    <a:srcRect l="1629" t="9096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903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若在未完成考试学习要求的情况下进行考试，则系统会进行提示，并要求去进行学习后方可正常参加考试。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4310" cy="1231265"/>
            <wp:effectExtent l="0" t="0" r="2540" b="6985"/>
            <wp:docPr id="13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1"/>
                    <pic:cNvPicPr>
                      <a:picLocks noChangeAspect="1"/>
                    </pic:cNvPicPr>
                  </pic:nvPicPr>
                  <pic:blipFill>
                    <a:blip r:embed="rId117"/>
                    <a:srcRect t="178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 w:ascii="宋体" w:hAnsi="宋体" w:eastAsiaTheme="minorEastAsia" w:cstheme="minorBidi"/>
          <w:b/>
          <w:smallCaps/>
          <w:kern w:val="2"/>
          <w:sz w:val="28"/>
          <w:szCs w:val="24"/>
          <w:lang w:val="en-US" w:eastAsia="zh-CN" w:bidi="ar-SA"/>
        </w:rPr>
      </w:pPr>
      <w:bookmarkStart w:id="44" w:name="_Toc4789"/>
      <w:r>
        <w:rPr>
          <w:rFonts w:hint="eastAsia" w:cstheme="minorBidi"/>
          <w:b/>
          <w:smallCaps/>
          <w:kern w:val="2"/>
          <w:sz w:val="28"/>
          <w:szCs w:val="24"/>
          <w:lang w:val="en-US" w:eastAsia="zh-CN" w:bidi="ar-SA"/>
        </w:rPr>
        <w:t>错题集</w:t>
      </w:r>
      <w:bookmarkEnd w:id="4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菜单“错题集”，可进行错题管理。可以选择试题类型（判断题、单选题、多选题）、题库，输入题干内容进行检索；对试题可以进行“收起答案”及“此题已掌握”操作，若选择“此题已掌握”，则经过确认操作后，试题将标记为已掌握并从错题集当中移除。</w:t>
      </w:r>
      <w:r>
        <w:rPr>
          <w:rFonts w:hint="eastAsia"/>
          <w:lang w:val="en-US" w:eastAsia="zh-CN"/>
        </w:rPr>
        <w:tab/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2790190</wp:posOffset>
                </wp:positionH>
                <wp:positionV relativeFrom="paragraph">
                  <wp:posOffset>1717675</wp:posOffset>
                </wp:positionV>
                <wp:extent cx="19050" cy="552450"/>
                <wp:effectExtent l="71755" t="635" r="80645" b="18415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42715" y="2784475"/>
                          <a:ext cx="19050" cy="5524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9.7pt;margin-top:135.25pt;height:43.5pt;width:1.5pt;z-index:251671552;mso-width-relative:page;mso-height-relative:page;" filled="f" stroked="t" coordsize="21600,21600" o:gfxdata="UEsDBAoAAAAAAIdO4kAAAAAAAAAAAAAAAAAEAAAAZHJzL1BLAwQUAAAACACHTuJAJOInydoAAAAL&#10;AQAADwAAAGRycy9kb3ducmV2LnhtbE2Py07DMBBF90j8gzVIbFBrN48WQpwKgdpNV4Syd5IhiRqP&#10;o9h90K9nWMFyZo7unJuvL3YQJ5x870jDYq5AINWu6anVsP/YzB5B+GCoMYMj1PCNHtbF7U1ussad&#10;6R1PZWgFh5DPjIYuhDGT0tcdWuPnbkTi25ebrAk8Tq1sJnPmcDvISKmltKYn/tCZEV87rA/l0WrY&#10;bq+Hze7hJY1iDLvSVerz7brX+v5uoZ5BBLyEPxh+9VkdCnaq3JEaLwYNSfyUMKohWqkUBBNJEvGm&#10;0hCnqxRkkcv/HYofUEsDBBQAAAAIAIdO4kDAS9QNGQIAAPADAAAOAAAAZHJzL2Uyb0RvYy54bWyt&#10;U82O0zAQviPxDpbvNElptt2o6R5aygVBJeABXMdJLPlPY2/TvgQvgMQJOLGc9s7TwPIYjJOwC8tl&#10;D+TgjD2eb+b7PLO8OGpFDgK8tKak2SSlRBhuK2makr59s32yoMQHZiqmrBElPQlPL1aPHy07V4ip&#10;ba2qBBAEMb7oXEnbEFyRJJ63QjM/sU4YdNYWNAu4hSapgHWIrlUyTdOzpLNQObBceI+nm8FJR0R4&#10;CKCta8nFxvJLLUwYUEEoFpCSb6XzdNVXW9eCh1d17UUgqqTINPQrJkF7H9dktWRFA8y1ko8lsIeU&#10;cI+TZtJg0luoDQuMXIL8B0pLDtbbOky41clApFcEWWTpPW1et8yJngtK7d2t6P7/wfKXhx0QWZX0&#10;bE6JYRpf/Ob99Y93n26+Xn3/eP3z24dof/lM0I9idc4XGLM2Oxh33u0gMj/WoOMfOZFjSZ+ez6bz&#10;LKfkVNLpfDGbzfNBbHEMhOOF7DzN8RU4+vN8OkMbAZM7HAc+PBdWk2iU1AdgsmnD2hqDr2oh6/Vm&#10;hxc+DIG/A2IRxm6lUnjOCmVIh+UssjRmY9ixNXYKmtoha28aSphqcBR4gB7SWyWrGB6jPTT7tQJy&#10;YNhA222K31jnX9di7g3z7XCvdw1stQw4LUrqki5i8NhxgUn1zFQknBwKzgBsN8IqgypElQddo7W3&#10;1amXuz/HRuh1Gps2dtqf+z76blB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k4ifJ2gAAAAsB&#10;AAAPAAAAAAAAAAEAIAAAACIAAABkcnMvZG93bnJldi54bWxQSwECFAAUAAAACACHTuJAwEvUDRkC&#10;AADwAwAADgAAAAAAAAABACAAAAApAQAAZHJzL2Uyb0RvYy54bWxQSwUGAAAAAAYABgBZAQAAtAUA&#10;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83505" cy="1942465"/>
            <wp:effectExtent l="9525" t="9525" r="26670" b="10160"/>
            <wp:docPr id="7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6"/>
                    <pic:cNvPicPr>
                      <a:picLocks noChangeAspect="1"/>
                    </pic:cNvPicPr>
                  </pic:nvPicPr>
                  <pic:blipFill>
                    <a:blip r:embed="rId118"/>
                    <a:srcRect l="1627" t="5557" b="31488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1942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183505" cy="780415"/>
            <wp:effectExtent l="9525" t="9525" r="26670" b="10160"/>
            <wp:docPr id="6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6"/>
                    <pic:cNvPicPr>
                      <a:picLocks noChangeAspect="1"/>
                    </pic:cNvPicPr>
                  </pic:nvPicPr>
                  <pic:blipFill>
                    <a:blip r:embed="rId118"/>
                    <a:srcRect l="1627" t="74707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78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可以选择对当前的错题集继续练习或者重新开始，系统将生成相应的试卷供考生进行错题练习。</w:t>
      </w:r>
    </w:p>
    <w:p>
      <w:pPr>
        <w:pStyle w:val="2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743585</wp:posOffset>
                </wp:positionV>
                <wp:extent cx="9525" cy="485775"/>
                <wp:effectExtent l="79375" t="635" r="82550" b="8890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09365" y="5471795"/>
                          <a:ext cx="952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0.7pt;margin-top:58.55pt;height:38.25pt;width:0.75pt;z-index:251672576;mso-width-relative:page;mso-height-relative:page;" filled="f" stroked="t" coordsize="21600,21600" o:gfxdata="UEsDBAoAAAAAAIdO4kAAAAAAAAAAAAAAAAAEAAAAZHJzL1BLAwQUAAAACACHTuJA8n8jUNkAAAAL&#10;AQAADwAAAGRycy9kb3ducmV2LnhtbE2Py07DMBBF90j8gzVIbBD1o6HQEKdCoHbTFaHsnXhIosZ2&#10;FLsP+vUMK1jO3KM7Z4rV2Q3siFPsg9cgZwIY+ibY3rcadh/r+ydgMRlvzRA8avjGCKvy+qowuQ0n&#10;/47HKrWMSnzMjYYupTHnPDYdOhNnYURP2VeYnEk0Ti23kzlRuRu4EmLBnek9XejMiK8dNvvq4DRs&#10;Npf9env38qDmmLZVqMXn22Wn9e2NFM/AEp7THwy/+qQOJTnV4eBtZIOGTMmMUArkowRGRKbUElhN&#10;m+V8Abws+P8fyh9QSwMEFAAAAAgAh07iQNWIZXkZAgAA7wMAAA4AAABkcnMvZTJvRG9jLnhtbK1T&#10;zY7TMBC+I/EOlu80aXe7baOme2gpFwSVgAdwHSex5D+NvU37ErwAEifgBJz2ztPA8hiMnbALy2UP&#10;5OCMPZ5v5vtmvLw8akUOAry0pqTjUU6JMNxW0jQlffN6+2ROiQ/MVExZI0p6Ep5erh4/WnauEBPb&#10;WlUJIAhifNG5krYhuCLLPG+FZn5knTDorC1oFnALTVYB6xBdq2yS5xdZZ6FyYLnwHk83vZMOiPAQ&#10;QFvXkouN5VdamNCjglAsICXfSufpKlVb14KHl3XtRSCqpMg0pBWToL2Pa7ZasqIB5lrJhxLYQ0q4&#10;x0kzaTDpLdSGBUauQP4DpSUH620dRtzqrCeSFEEW4/yeNq9a5kTiglJ7dyu6/3+w/MVhB0RWJZ1N&#10;KDFMY8dv3l3/ePvx5uuX7x+uf357H+3Pnwj6UazO+QJj1mYHw867HUTmxxp0/CMncizp2TxfnF1M&#10;KTmVdHo+G88W015scQyE44XFdIJeju7z+XQ2S97sDsaBD8+E1SQaJfUBmGzasLbGYFMtjJPc7PDc&#10;BywEA38HxBqM3UqlUm+VIV2sZpxjyznDga1xUNDUDkl701DCVIMvgQdIkN4qWcXwCOSh2a8VkAPD&#10;+dluc/wiC0z317WYe8N8299Lrp6slgEfi5K6pPMYPAxcYFI9NRUJJ4d6MwDbDbDKIHoUuZc1Wntb&#10;nZLa6RznIOUfZjYO2p/7FH33Tl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PJ/I1DZAAAACwEA&#10;AA8AAAAAAAAAAQAgAAAAIgAAAGRycy9kb3ducmV2LnhtbFBLAQIUABQAAAAIAIdO4kDViGV5GQIA&#10;AO8DAAAOAAAAAAAAAAEAIAAAACgBAABkcnMvZTJvRG9jLnhtbFBLBQYAAAAABgAGAFkBAACzBQAA&#10;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79060" cy="798830"/>
            <wp:effectExtent l="9525" t="9525" r="12065" b="10795"/>
            <wp:docPr id="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7"/>
                    <pic:cNvPicPr>
                      <a:picLocks noChangeAspect="1"/>
                    </pic:cNvPicPr>
                  </pic:nvPicPr>
                  <pic:blipFill>
                    <a:blip r:embed="rId119"/>
                    <a:srcRect l="1628" t="4937" b="73272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798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2666365</wp:posOffset>
                </wp:positionH>
                <wp:positionV relativeFrom="paragraph">
                  <wp:posOffset>772160</wp:posOffset>
                </wp:positionV>
                <wp:extent cx="9525" cy="485775"/>
                <wp:effectExtent l="79375" t="635" r="82550" b="8890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95pt;margin-top:60.8pt;height:38.25pt;width:0.75pt;z-index:251673600;mso-width-relative:page;mso-height-relative:page;" filled="f" stroked="t" coordsize="21600,21600" o:gfxdata="UEsDBAoAAAAAAIdO4kAAAAAAAAAAAAAAAAAEAAAAZHJzL1BLAwQUAAAACACHTuJAjNEbU9oAAAAL&#10;AQAADwAAAGRycy9kb3ducmV2LnhtbE2Py07DMBBF90j8gzVIbBC1HULVpHEqBGo3XTWUvRNPk6ix&#10;HcXug349wwqWM/fozplidbUDO+MUeu8UyJkAhq7xpnetgv3n+nkBLETtjB68QwXfGGBV3t8VOjf+&#10;4nZ4rmLLqMSFXCvoYhxzzkPTodVh5kd0lB38ZHWkcWq5mfSFyu3AEyHm3Ore0YVOj/jeYXOsTlbB&#10;ZnM7rrdPb6/JC8Zt5Wvx9XHbK/X4IMUSWMRr/IPhV5/UoSSn2p+cCWxQkMosI5SCRM6BEZEmMgVW&#10;0yZbSOBlwf//UP4AUEsDBBQAAAAIAIdO4kAltzwWCwIAAOMDAAAOAAAAZHJzL2Uyb0RvYy54bWyt&#10;U82O0zAQviPxDpbvNGmhtERN99BSLggqAQ8wdZzEkv809jbtS/ACSJyAE3DaO08Dy2MwTkMXlsse&#10;yMEZezzfzPfNeHFxMJrtJQblbMnHo5wzaYWrlG1K/ub15sGcsxDBVqCdlSU/ysAvlvfvLTpfyIlr&#10;na4kMgKxoeh8ydsYfZFlQbTSQBg5Ly05a4cGIm2xySqEjtCNziZ5/jjrHFYenZAh0On65OQDIt4F&#10;0NW1EnLtxKWRNp5QUWqIRCm0yge+7Kutayniy7oOMjJdcmIa+5WSkL1La7ZcQNEg+FaJoQS4Swm3&#10;OBlQlpKeodYQgV2i+gfKKIEuuDqOhDPZiUivCLEY57e0edWClz0Xkjr4s+jh/8GKF/stMlWVfEZ9&#10;t2Co49fvrn68/Xj99cv3D1c/v71P9udPjPwkVudDQTEru8VhF/wWE/NDjSb9iRM79AIfzwLLQ2SC&#10;Dp9MJ1POBDkezaez2TQhZjehHkN8Jp1hySh5iAiqaePKWUuNdDjuJYb98xBPgb8DUl7rNkprOodC&#10;W9aV/OF8nFObBdCQ1jQcZBpPRINtOAPd0PSLiD1kcFpVKTxFB2x2K41sDzQzm01O31DnX9dS7jWE&#10;9nSvd6VrUBgV6YFoZUo+T8HDkEVQ+qmtWDx60hgQXTfAaksqJGFPUiZr56pjr3B/Tr3vdRrmNA3X&#10;n/s++uZtLn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NEbU9oAAAALAQAADwAAAAAAAAABACAA&#10;AAAiAAAAZHJzL2Rvd25yZXYueG1sUEsBAhQAFAAAAAgAh07iQCW3PBYLAgAA4wMAAA4AAAAAAAAA&#10;AQAgAAAAKQEAAGRycy9lMm9Eb2MueG1sUEsFBgAAAAAGAAYAWQEAAKY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79060" cy="865505"/>
            <wp:effectExtent l="9525" t="9525" r="12065" b="20320"/>
            <wp:docPr id="6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7"/>
                    <pic:cNvPicPr>
                      <a:picLocks noChangeAspect="1"/>
                    </pic:cNvPicPr>
                  </pic:nvPicPr>
                  <pic:blipFill>
                    <a:blip r:embed="rId119"/>
                    <a:srcRect l="1628" t="30660" b="45730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86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179060" cy="1475105"/>
            <wp:effectExtent l="9525" t="9525" r="12065" b="20320"/>
            <wp:docPr id="7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7"/>
                    <pic:cNvPicPr>
                      <a:picLocks noChangeAspect="1"/>
                    </pic:cNvPicPr>
                  </pic:nvPicPr>
                  <pic:blipFill>
                    <a:blip r:embed="rId119"/>
                    <a:srcRect l="1628" t="60021" b="-260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147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45" w:name="_Toc13207"/>
      <w:r>
        <w:rPr>
          <w:rFonts w:hint="eastAsia"/>
          <w:lang w:val="en-US" w:eastAsia="zh-CN"/>
        </w:rPr>
        <w:t>我的成绩</w:t>
      </w:r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</w:rPr>
        <w:t>点击左侧菜单“</w:t>
      </w:r>
      <w:r>
        <w:rPr>
          <w:rFonts w:hint="eastAsia"/>
          <w:lang w:val="en-US" w:eastAsia="zh-CN"/>
        </w:rPr>
        <w:t>我的成绩</w:t>
      </w:r>
      <w:r>
        <w:rPr>
          <w:rFonts w:hint="eastAsia"/>
        </w:rPr>
        <w:t>”，可</w:t>
      </w:r>
      <w:r>
        <w:rPr>
          <w:rFonts w:hint="eastAsia"/>
          <w:lang w:val="en-US" w:eastAsia="zh-CN"/>
        </w:rPr>
        <w:t>进行常规考试成绩管理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在搜索框中“输入考试名称”，可以查询相关考试的成绩信息；对已有的考试成绩可进行“查看答案”、“打印考试承诺书”、“打印证书”操作。</w:t>
      </w:r>
    </w:p>
    <w:p>
      <w:pPr>
        <w:rPr>
          <w:rFonts w:hint="eastAsia" w:ascii="楷体" w:hAnsi="楷体" w:eastAsia="楷体"/>
        </w:rPr>
      </w:pPr>
      <w:r>
        <w:rPr>
          <w:rFonts w:hint="eastAsia"/>
          <w:lang w:val="en-US" w:eastAsia="zh-CN"/>
        </w:rPr>
        <w:t>点击“查看答案”，会出现弹窗，可查看试卷详情和正确答案，点击“返回”，可以关闭查看答案界面。</w:t>
      </w:r>
    </w:p>
    <w:p>
      <w:pPr>
        <w:pStyle w:val="2"/>
        <w:spacing w:after="0"/>
        <w:ind w:left="0" w:leftChars="0" w:firstLine="0" w:firstLineChars="0"/>
        <w:jc w:val="center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1635760</wp:posOffset>
                </wp:positionV>
                <wp:extent cx="9525" cy="619125"/>
                <wp:effectExtent l="78740" t="0" r="83185" b="9525"/>
                <wp:wrapNone/>
                <wp:docPr id="8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14115" y="3344545"/>
                          <a:ext cx="9525" cy="619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7pt;margin-top:128.8pt;height:48.75pt;width:0.75pt;z-index:251674624;mso-width-relative:page;mso-height-relative:page;" filled="f" stroked="t" coordsize="21600,21600" o:gfxdata="UEsDBAoAAAAAAIdO4kAAAAAAAAAAAAAAAAAEAAAAZHJzL1BLAwQUAAAACACHTuJAaIWPONoAAAAL&#10;AQAADwAAAGRycy9kb3ducmV2LnhtbE2Py07DMBBF90j8gzVIbBC18yoQMqkQqN10RSh7JxmSqPE4&#10;it0H/XrMCpaje3TvmWJ1NqM40uwGywjRQoEgbmw7cIew+1jfP4JwXnOrR8uE8E0OVuX1VaHz1p74&#10;nY6V70QoYZdrhN77KZfSNT0Z7RZ2Ig7Zl52N9uGcO9nO+hTKzShjpZbS6IHDQq8neu2p2VcHg7DZ&#10;XPbr7d1LFifkt5Wt1efbZYd4exOpZxCezv4Phl/9oA5lcKrtgVsnRoRUJWlAEeLsYQkiEKlKn0DU&#10;CEmWRSDLQv7/ofwBUEsDBBQAAAAIAIdO4kCGs+JPFgIAAO8DAAAOAAAAZHJzL2Uyb0RvYy54bWyt&#10;U01y0zAU3jPDHTTaE9tpUlJPnC4SwoaBzgAHUGTZ1oz+5kmNk0twAWZYASvKqntOA+UYPMmmhbLp&#10;Ai/kJz19n9736Wl5ftCK7AV4aU1Fi0lOiTDc1tK0FX37ZvtkQYkPzNRMWSMqehSenq8eP1r2rhRT&#10;21lVCyBIYnzZu4p2IbgyyzzvhGZ+Yp0wmGwsaBZwCm1WA+uRXatsmuenWW+hdmC58B5XN0OSjozw&#10;EELbNJKLjeWXWpgwsIJQLKAk30nn6SpV2zSCh1dN40UgqqKoNKQRD8F4F8dstWRlC8x1ko8lsIeU&#10;cE+TZtLgobdUGxYYuQT5D5WWHKy3TZhwq7NBSHIEVRT5PW9ed8yJpAWt9u7WdP//aPnL/QUQWVd0&#10;MaPEMI03fvP++se7Tzdfr75/vP757UOMv3wmmEezeudLxKzNBYwz7y4gKj80oOMfNZFDRU+eFrOi&#10;mFNyxPhkNpvP5oPZ4hAIxw1n8ylmOaZPi7MCY+TL7mgc+PBcWE1iUFEfgMm2C2trDF6qhSLZzfYv&#10;fBiAvwGxBmO3UilcZ6UypMcKFkWOV84ZNmyDjYKhdijam5YSplp8CTxAovRWyTrCI9pDu1srIHuG&#10;/bPd5viNdf61LZ69Yb4b9qXUIFbLgI9FSY3+RvDYcIFJ9czUJBwd+s0AbD/SKoMuRJMHW2O0s/Ux&#10;uZ3WsQ+ST2PPxkb7c57Qd+909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ohY842gAAAAsBAAAP&#10;AAAAAAAAAAEAIAAAACIAAABkcnMvZG93bnJldi54bWxQSwECFAAUAAAACACHTuJAhrPiTxYCAADv&#10;AwAADgAAAAAAAAABACAAAAApAQAAZHJzL2Uyb0RvYy54bWxQSwUGAAAAAAYABgBZAQAAs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98110" cy="1909445"/>
            <wp:effectExtent l="9525" t="9525" r="12065" b="24130"/>
            <wp:docPr id="7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9"/>
                    <pic:cNvPicPr>
                      <a:picLocks noChangeAspect="1"/>
                    </pic:cNvPicPr>
                  </pic:nvPicPr>
                  <pic:blipFill>
                    <a:blip r:embed="rId120"/>
                    <a:srcRect l="1266" b="52436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1909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198110" cy="1899920"/>
            <wp:effectExtent l="9525" t="9525" r="12065" b="14605"/>
            <wp:docPr id="8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9"/>
                    <pic:cNvPicPr>
                      <a:picLocks noChangeAspect="1"/>
                    </pic:cNvPicPr>
                  </pic:nvPicPr>
                  <pic:blipFill>
                    <a:blip r:embed="rId120"/>
                    <a:srcRect l="1266" t="52673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1899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7D1044"/>
    <w:multiLevelType w:val="singleLevel"/>
    <w:tmpl w:val="DC7D10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4AC6D66"/>
    <w:multiLevelType w:val="multilevel"/>
    <w:tmpl w:val="64AC6D66"/>
    <w:lvl w:ilvl="0" w:tentative="0">
      <w:start w:val="1"/>
      <w:numFmt w:val="decimal"/>
      <w:pStyle w:val="4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5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VlZTZhMmMwYzYyZDk4NGUxYWRjMzkwNjEzYmQ5ZWYifQ=="/>
  </w:docVars>
  <w:rsids>
    <w:rsidRoot w:val="00E91FAF"/>
    <w:rsid w:val="000007B3"/>
    <w:rsid w:val="00005895"/>
    <w:rsid w:val="00006A33"/>
    <w:rsid w:val="00007582"/>
    <w:rsid w:val="00012593"/>
    <w:rsid w:val="00012755"/>
    <w:rsid w:val="000133EB"/>
    <w:rsid w:val="000215F2"/>
    <w:rsid w:val="000227AE"/>
    <w:rsid w:val="000234B2"/>
    <w:rsid w:val="00023A17"/>
    <w:rsid w:val="00025766"/>
    <w:rsid w:val="00027908"/>
    <w:rsid w:val="00033BC7"/>
    <w:rsid w:val="000376D2"/>
    <w:rsid w:val="00042FC0"/>
    <w:rsid w:val="000434A1"/>
    <w:rsid w:val="00043813"/>
    <w:rsid w:val="00046DA2"/>
    <w:rsid w:val="0004709F"/>
    <w:rsid w:val="000534BE"/>
    <w:rsid w:val="00055586"/>
    <w:rsid w:val="00061C17"/>
    <w:rsid w:val="000620D8"/>
    <w:rsid w:val="00062CA6"/>
    <w:rsid w:val="0006319E"/>
    <w:rsid w:val="000678AD"/>
    <w:rsid w:val="00070AE3"/>
    <w:rsid w:val="00071A7D"/>
    <w:rsid w:val="0007507E"/>
    <w:rsid w:val="0007527B"/>
    <w:rsid w:val="00075541"/>
    <w:rsid w:val="000757CA"/>
    <w:rsid w:val="00077C53"/>
    <w:rsid w:val="00080731"/>
    <w:rsid w:val="00081C3C"/>
    <w:rsid w:val="00081C43"/>
    <w:rsid w:val="000918DD"/>
    <w:rsid w:val="00093A51"/>
    <w:rsid w:val="000944EE"/>
    <w:rsid w:val="000950BA"/>
    <w:rsid w:val="00095D22"/>
    <w:rsid w:val="000A0B26"/>
    <w:rsid w:val="000A11F3"/>
    <w:rsid w:val="000A5AA7"/>
    <w:rsid w:val="000B4E7C"/>
    <w:rsid w:val="000C09AC"/>
    <w:rsid w:val="000D1431"/>
    <w:rsid w:val="000D5D4C"/>
    <w:rsid w:val="000D6F30"/>
    <w:rsid w:val="000E13F2"/>
    <w:rsid w:val="000E20CF"/>
    <w:rsid w:val="000E5C1C"/>
    <w:rsid w:val="000E6BDA"/>
    <w:rsid w:val="000F3492"/>
    <w:rsid w:val="00101075"/>
    <w:rsid w:val="001019AB"/>
    <w:rsid w:val="00101C3D"/>
    <w:rsid w:val="001053D1"/>
    <w:rsid w:val="00106128"/>
    <w:rsid w:val="001066FA"/>
    <w:rsid w:val="00107438"/>
    <w:rsid w:val="0010752B"/>
    <w:rsid w:val="00112CCB"/>
    <w:rsid w:val="001154C2"/>
    <w:rsid w:val="00120CF9"/>
    <w:rsid w:val="00121BF9"/>
    <w:rsid w:val="00122887"/>
    <w:rsid w:val="00125DF7"/>
    <w:rsid w:val="00126A51"/>
    <w:rsid w:val="00130928"/>
    <w:rsid w:val="0013427C"/>
    <w:rsid w:val="00135D43"/>
    <w:rsid w:val="0013692E"/>
    <w:rsid w:val="001414A0"/>
    <w:rsid w:val="001459F5"/>
    <w:rsid w:val="0015012E"/>
    <w:rsid w:val="00152509"/>
    <w:rsid w:val="00155D67"/>
    <w:rsid w:val="00157DAA"/>
    <w:rsid w:val="00162BE5"/>
    <w:rsid w:val="00162BF8"/>
    <w:rsid w:val="00163985"/>
    <w:rsid w:val="00164EFF"/>
    <w:rsid w:val="001653ED"/>
    <w:rsid w:val="001660E3"/>
    <w:rsid w:val="00166ECF"/>
    <w:rsid w:val="00176139"/>
    <w:rsid w:val="00180BA4"/>
    <w:rsid w:val="00181A49"/>
    <w:rsid w:val="00190C0D"/>
    <w:rsid w:val="00196061"/>
    <w:rsid w:val="001A4D07"/>
    <w:rsid w:val="001A5B4B"/>
    <w:rsid w:val="001A6019"/>
    <w:rsid w:val="001A70BA"/>
    <w:rsid w:val="001B2604"/>
    <w:rsid w:val="001B405D"/>
    <w:rsid w:val="001C1A41"/>
    <w:rsid w:val="001C38EF"/>
    <w:rsid w:val="001C5823"/>
    <w:rsid w:val="001C6813"/>
    <w:rsid w:val="001D090C"/>
    <w:rsid w:val="001D19DB"/>
    <w:rsid w:val="001D4AAB"/>
    <w:rsid w:val="001D5C17"/>
    <w:rsid w:val="001E195F"/>
    <w:rsid w:val="001E26D3"/>
    <w:rsid w:val="001E34F3"/>
    <w:rsid w:val="001E39D3"/>
    <w:rsid w:val="001E6090"/>
    <w:rsid w:val="001E6690"/>
    <w:rsid w:val="001E73F4"/>
    <w:rsid w:val="001E7ABA"/>
    <w:rsid w:val="001F1E21"/>
    <w:rsid w:val="001F2E87"/>
    <w:rsid w:val="001F4528"/>
    <w:rsid w:val="001F5CD9"/>
    <w:rsid w:val="00207B6C"/>
    <w:rsid w:val="0021210F"/>
    <w:rsid w:val="002148BF"/>
    <w:rsid w:val="00215129"/>
    <w:rsid w:val="00220012"/>
    <w:rsid w:val="00220AEE"/>
    <w:rsid w:val="00224F42"/>
    <w:rsid w:val="00231DA5"/>
    <w:rsid w:val="00234204"/>
    <w:rsid w:val="00235B6F"/>
    <w:rsid w:val="002415A0"/>
    <w:rsid w:val="00246D3F"/>
    <w:rsid w:val="00251C57"/>
    <w:rsid w:val="00251ECF"/>
    <w:rsid w:val="0025453D"/>
    <w:rsid w:val="00255462"/>
    <w:rsid w:val="00256402"/>
    <w:rsid w:val="00256AC5"/>
    <w:rsid w:val="00257835"/>
    <w:rsid w:val="002645CD"/>
    <w:rsid w:val="002647C1"/>
    <w:rsid w:val="002648AD"/>
    <w:rsid w:val="00266521"/>
    <w:rsid w:val="00266706"/>
    <w:rsid w:val="0026732D"/>
    <w:rsid w:val="00270BE5"/>
    <w:rsid w:val="00280E93"/>
    <w:rsid w:val="0028397C"/>
    <w:rsid w:val="0028498F"/>
    <w:rsid w:val="00285EFF"/>
    <w:rsid w:val="00286668"/>
    <w:rsid w:val="0028674F"/>
    <w:rsid w:val="00291641"/>
    <w:rsid w:val="002918E2"/>
    <w:rsid w:val="00293279"/>
    <w:rsid w:val="00294332"/>
    <w:rsid w:val="00295F38"/>
    <w:rsid w:val="00296F4A"/>
    <w:rsid w:val="002A109F"/>
    <w:rsid w:val="002A152D"/>
    <w:rsid w:val="002A2879"/>
    <w:rsid w:val="002A5AEA"/>
    <w:rsid w:val="002A66BA"/>
    <w:rsid w:val="002B2846"/>
    <w:rsid w:val="002B2CE4"/>
    <w:rsid w:val="002B4E98"/>
    <w:rsid w:val="002B58DF"/>
    <w:rsid w:val="002C5C20"/>
    <w:rsid w:val="002C5CF4"/>
    <w:rsid w:val="002C6016"/>
    <w:rsid w:val="002C649C"/>
    <w:rsid w:val="002D1DCF"/>
    <w:rsid w:val="002D2843"/>
    <w:rsid w:val="002D3E91"/>
    <w:rsid w:val="002E27C6"/>
    <w:rsid w:val="002E4477"/>
    <w:rsid w:val="002E5AD0"/>
    <w:rsid w:val="002F0268"/>
    <w:rsid w:val="002F0A25"/>
    <w:rsid w:val="002F20C3"/>
    <w:rsid w:val="002F5DCC"/>
    <w:rsid w:val="002F606D"/>
    <w:rsid w:val="00307DB1"/>
    <w:rsid w:val="00311C8B"/>
    <w:rsid w:val="00314C3C"/>
    <w:rsid w:val="00315F52"/>
    <w:rsid w:val="00317A56"/>
    <w:rsid w:val="00320C75"/>
    <w:rsid w:val="00321225"/>
    <w:rsid w:val="0032610A"/>
    <w:rsid w:val="00327160"/>
    <w:rsid w:val="00330ADB"/>
    <w:rsid w:val="00333528"/>
    <w:rsid w:val="003338B9"/>
    <w:rsid w:val="00337D2C"/>
    <w:rsid w:val="00344080"/>
    <w:rsid w:val="003463EF"/>
    <w:rsid w:val="00347505"/>
    <w:rsid w:val="0035681A"/>
    <w:rsid w:val="00356EC5"/>
    <w:rsid w:val="00360BE9"/>
    <w:rsid w:val="00361F1F"/>
    <w:rsid w:val="00362723"/>
    <w:rsid w:val="003634F8"/>
    <w:rsid w:val="00364041"/>
    <w:rsid w:val="00364798"/>
    <w:rsid w:val="00364F32"/>
    <w:rsid w:val="00366FC6"/>
    <w:rsid w:val="0037084B"/>
    <w:rsid w:val="00374EF0"/>
    <w:rsid w:val="00374EFB"/>
    <w:rsid w:val="0037559D"/>
    <w:rsid w:val="0037583A"/>
    <w:rsid w:val="00375A4D"/>
    <w:rsid w:val="00376305"/>
    <w:rsid w:val="00377C22"/>
    <w:rsid w:val="0038105C"/>
    <w:rsid w:val="003825F9"/>
    <w:rsid w:val="00383168"/>
    <w:rsid w:val="00384F79"/>
    <w:rsid w:val="00386693"/>
    <w:rsid w:val="003867B6"/>
    <w:rsid w:val="0039052E"/>
    <w:rsid w:val="003923F6"/>
    <w:rsid w:val="0039401D"/>
    <w:rsid w:val="00395045"/>
    <w:rsid w:val="0039742E"/>
    <w:rsid w:val="003A1343"/>
    <w:rsid w:val="003B0217"/>
    <w:rsid w:val="003B4D4E"/>
    <w:rsid w:val="003B78CE"/>
    <w:rsid w:val="003B7FEF"/>
    <w:rsid w:val="003C16E2"/>
    <w:rsid w:val="003C26E5"/>
    <w:rsid w:val="003C2CE5"/>
    <w:rsid w:val="003C3AD4"/>
    <w:rsid w:val="003C4367"/>
    <w:rsid w:val="003C6CC7"/>
    <w:rsid w:val="003C7483"/>
    <w:rsid w:val="003D1589"/>
    <w:rsid w:val="003D33C4"/>
    <w:rsid w:val="003E460D"/>
    <w:rsid w:val="003E5352"/>
    <w:rsid w:val="003E614F"/>
    <w:rsid w:val="003E742B"/>
    <w:rsid w:val="003E7DD0"/>
    <w:rsid w:val="003F1851"/>
    <w:rsid w:val="003F3AF1"/>
    <w:rsid w:val="003F48D6"/>
    <w:rsid w:val="003F5374"/>
    <w:rsid w:val="003F621D"/>
    <w:rsid w:val="004158E5"/>
    <w:rsid w:val="00417550"/>
    <w:rsid w:val="004177EC"/>
    <w:rsid w:val="00422532"/>
    <w:rsid w:val="004238DC"/>
    <w:rsid w:val="00424ACF"/>
    <w:rsid w:val="00430971"/>
    <w:rsid w:val="00431B17"/>
    <w:rsid w:val="00431F9D"/>
    <w:rsid w:val="00432245"/>
    <w:rsid w:val="00432377"/>
    <w:rsid w:val="0043437F"/>
    <w:rsid w:val="00435B6C"/>
    <w:rsid w:val="00437247"/>
    <w:rsid w:val="004420AF"/>
    <w:rsid w:val="00442631"/>
    <w:rsid w:val="004456D2"/>
    <w:rsid w:val="0045170A"/>
    <w:rsid w:val="004559FF"/>
    <w:rsid w:val="00461129"/>
    <w:rsid w:val="004616A4"/>
    <w:rsid w:val="0046265F"/>
    <w:rsid w:val="00463081"/>
    <w:rsid w:val="00465C5F"/>
    <w:rsid w:val="00470A8B"/>
    <w:rsid w:val="00471493"/>
    <w:rsid w:val="004745B8"/>
    <w:rsid w:val="00474A4A"/>
    <w:rsid w:val="00476022"/>
    <w:rsid w:val="00480D5B"/>
    <w:rsid w:val="00481FD1"/>
    <w:rsid w:val="00492E66"/>
    <w:rsid w:val="004930D0"/>
    <w:rsid w:val="00494990"/>
    <w:rsid w:val="0049589B"/>
    <w:rsid w:val="00497C87"/>
    <w:rsid w:val="004A3D39"/>
    <w:rsid w:val="004A4F07"/>
    <w:rsid w:val="004A7373"/>
    <w:rsid w:val="004B6AD8"/>
    <w:rsid w:val="004B78B1"/>
    <w:rsid w:val="004C33C3"/>
    <w:rsid w:val="004C3B16"/>
    <w:rsid w:val="004C4B11"/>
    <w:rsid w:val="004C6C04"/>
    <w:rsid w:val="004C6C81"/>
    <w:rsid w:val="004D5595"/>
    <w:rsid w:val="004D5E8E"/>
    <w:rsid w:val="004D644F"/>
    <w:rsid w:val="004E46C5"/>
    <w:rsid w:val="004E5856"/>
    <w:rsid w:val="004E6624"/>
    <w:rsid w:val="004F72A2"/>
    <w:rsid w:val="00506229"/>
    <w:rsid w:val="00511876"/>
    <w:rsid w:val="00514F9E"/>
    <w:rsid w:val="00516A7E"/>
    <w:rsid w:val="005309B7"/>
    <w:rsid w:val="00530DC2"/>
    <w:rsid w:val="005321C9"/>
    <w:rsid w:val="005333EB"/>
    <w:rsid w:val="00536409"/>
    <w:rsid w:val="00540468"/>
    <w:rsid w:val="00545422"/>
    <w:rsid w:val="005503ED"/>
    <w:rsid w:val="00552AD0"/>
    <w:rsid w:val="00554051"/>
    <w:rsid w:val="00554535"/>
    <w:rsid w:val="00562306"/>
    <w:rsid w:val="005632A1"/>
    <w:rsid w:val="00564065"/>
    <w:rsid w:val="00564FF1"/>
    <w:rsid w:val="00566B51"/>
    <w:rsid w:val="005752D2"/>
    <w:rsid w:val="00575D05"/>
    <w:rsid w:val="00587EDC"/>
    <w:rsid w:val="00594FB9"/>
    <w:rsid w:val="00595AE4"/>
    <w:rsid w:val="005960BA"/>
    <w:rsid w:val="00597AA6"/>
    <w:rsid w:val="005B10A4"/>
    <w:rsid w:val="005B3158"/>
    <w:rsid w:val="005B35C6"/>
    <w:rsid w:val="005B5CDA"/>
    <w:rsid w:val="005B6ED1"/>
    <w:rsid w:val="005C127E"/>
    <w:rsid w:val="005C1510"/>
    <w:rsid w:val="005C1518"/>
    <w:rsid w:val="005C52FE"/>
    <w:rsid w:val="005C7BAB"/>
    <w:rsid w:val="005D01BB"/>
    <w:rsid w:val="005D02E2"/>
    <w:rsid w:val="005D0E92"/>
    <w:rsid w:val="005D105F"/>
    <w:rsid w:val="005D38D9"/>
    <w:rsid w:val="005E0D89"/>
    <w:rsid w:val="005E1BB8"/>
    <w:rsid w:val="005E2009"/>
    <w:rsid w:val="005E3269"/>
    <w:rsid w:val="005E3A0D"/>
    <w:rsid w:val="005E451B"/>
    <w:rsid w:val="005E7AB3"/>
    <w:rsid w:val="005F1B9B"/>
    <w:rsid w:val="005F28F3"/>
    <w:rsid w:val="005F6BC4"/>
    <w:rsid w:val="006035E2"/>
    <w:rsid w:val="0060388A"/>
    <w:rsid w:val="0060457B"/>
    <w:rsid w:val="00606E0D"/>
    <w:rsid w:val="00607BD2"/>
    <w:rsid w:val="006124E8"/>
    <w:rsid w:val="006137E9"/>
    <w:rsid w:val="00614ADD"/>
    <w:rsid w:val="00621CE1"/>
    <w:rsid w:val="00622A38"/>
    <w:rsid w:val="00622C59"/>
    <w:rsid w:val="006322D1"/>
    <w:rsid w:val="00633CC2"/>
    <w:rsid w:val="006347AF"/>
    <w:rsid w:val="0064222C"/>
    <w:rsid w:val="006434F9"/>
    <w:rsid w:val="00653A9C"/>
    <w:rsid w:val="00655B1B"/>
    <w:rsid w:val="00656885"/>
    <w:rsid w:val="00656CAA"/>
    <w:rsid w:val="00660612"/>
    <w:rsid w:val="006664EA"/>
    <w:rsid w:val="006668F3"/>
    <w:rsid w:val="00666E30"/>
    <w:rsid w:val="00673FF6"/>
    <w:rsid w:val="006756C0"/>
    <w:rsid w:val="00675D54"/>
    <w:rsid w:val="0068000C"/>
    <w:rsid w:val="00680A10"/>
    <w:rsid w:val="00682D4D"/>
    <w:rsid w:val="00683035"/>
    <w:rsid w:val="00684A87"/>
    <w:rsid w:val="0069277B"/>
    <w:rsid w:val="00692C53"/>
    <w:rsid w:val="006948A8"/>
    <w:rsid w:val="00696747"/>
    <w:rsid w:val="006A0515"/>
    <w:rsid w:val="006A0A43"/>
    <w:rsid w:val="006A21E7"/>
    <w:rsid w:val="006A3DFD"/>
    <w:rsid w:val="006A40F8"/>
    <w:rsid w:val="006B601A"/>
    <w:rsid w:val="006B62E1"/>
    <w:rsid w:val="006B67D0"/>
    <w:rsid w:val="006C07CF"/>
    <w:rsid w:val="006C1130"/>
    <w:rsid w:val="006C26A2"/>
    <w:rsid w:val="006C3273"/>
    <w:rsid w:val="006C62C0"/>
    <w:rsid w:val="006C6599"/>
    <w:rsid w:val="006C675C"/>
    <w:rsid w:val="006D243C"/>
    <w:rsid w:val="006D49E6"/>
    <w:rsid w:val="006D5400"/>
    <w:rsid w:val="006D5AA3"/>
    <w:rsid w:val="006E5836"/>
    <w:rsid w:val="006E67BF"/>
    <w:rsid w:val="006F4CC5"/>
    <w:rsid w:val="006F5308"/>
    <w:rsid w:val="006F5D01"/>
    <w:rsid w:val="00704CFA"/>
    <w:rsid w:val="00705593"/>
    <w:rsid w:val="0070744E"/>
    <w:rsid w:val="00710795"/>
    <w:rsid w:val="007118AD"/>
    <w:rsid w:val="00717F77"/>
    <w:rsid w:val="00724E3D"/>
    <w:rsid w:val="0073060F"/>
    <w:rsid w:val="00736097"/>
    <w:rsid w:val="00736FF2"/>
    <w:rsid w:val="007401CA"/>
    <w:rsid w:val="0074103C"/>
    <w:rsid w:val="0074115A"/>
    <w:rsid w:val="00742209"/>
    <w:rsid w:val="00742DB1"/>
    <w:rsid w:val="0074323B"/>
    <w:rsid w:val="00745A27"/>
    <w:rsid w:val="00747243"/>
    <w:rsid w:val="00750EA0"/>
    <w:rsid w:val="00752ED9"/>
    <w:rsid w:val="00757B46"/>
    <w:rsid w:val="0076668C"/>
    <w:rsid w:val="007703AF"/>
    <w:rsid w:val="00770E31"/>
    <w:rsid w:val="007729E6"/>
    <w:rsid w:val="00773292"/>
    <w:rsid w:val="00774336"/>
    <w:rsid w:val="007822FA"/>
    <w:rsid w:val="00782FC6"/>
    <w:rsid w:val="0078449E"/>
    <w:rsid w:val="00784712"/>
    <w:rsid w:val="0078591B"/>
    <w:rsid w:val="007927AD"/>
    <w:rsid w:val="00792B2B"/>
    <w:rsid w:val="00792F91"/>
    <w:rsid w:val="007933EE"/>
    <w:rsid w:val="00795AF2"/>
    <w:rsid w:val="00797265"/>
    <w:rsid w:val="007A479B"/>
    <w:rsid w:val="007A64F9"/>
    <w:rsid w:val="007B1B02"/>
    <w:rsid w:val="007B38BA"/>
    <w:rsid w:val="007B6915"/>
    <w:rsid w:val="007B6A44"/>
    <w:rsid w:val="007B6ED9"/>
    <w:rsid w:val="007B7BBF"/>
    <w:rsid w:val="007C3A21"/>
    <w:rsid w:val="007C49F5"/>
    <w:rsid w:val="007C72A1"/>
    <w:rsid w:val="007D3714"/>
    <w:rsid w:val="007D3980"/>
    <w:rsid w:val="007D3C17"/>
    <w:rsid w:val="007D3F65"/>
    <w:rsid w:val="007D797F"/>
    <w:rsid w:val="007D7B58"/>
    <w:rsid w:val="007E3621"/>
    <w:rsid w:val="007F3848"/>
    <w:rsid w:val="00801A4F"/>
    <w:rsid w:val="00802712"/>
    <w:rsid w:val="00805969"/>
    <w:rsid w:val="00806920"/>
    <w:rsid w:val="00807B1B"/>
    <w:rsid w:val="008119FB"/>
    <w:rsid w:val="0082105E"/>
    <w:rsid w:val="00826B80"/>
    <w:rsid w:val="00832394"/>
    <w:rsid w:val="00832813"/>
    <w:rsid w:val="00832EEA"/>
    <w:rsid w:val="0083324D"/>
    <w:rsid w:val="0083523B"/>
    <w:rsid w:val="0083527B"/>
    <w:rsid w:val="00835A67"/>
    <w:rsid w:val="00836B6B"/>
    <w:rsid w:val="00840478"/>
    <w:rsid w:val="00841DCC"/>
    <w:rsid w:val="0084240D"/>
    <w:rsid w:val="00842821"/>
    <w:rsid w:val="0084759B"/>
    <w:rsid w:val="00847F1C"/>
    <w:rsid w:val="00850418"/>
    <w:rsid w:val="00850EBE"/>
    <w:rsid w:val="00852800"/>
    <w:rsid w:val="00852D5E"/>
    <w:rsid w:val="00853B75"/>
    <w:rsid w:val="008546A6"/>
    <w:rsid w:val="00862E01"/>
    <w:rsid w:val="008678A4"/>
    <w:rsid w:val="00871FB2"/>
    <w:rsid w:val="00872220"/>
    <w:rsid w:val="008774E2"/>
    <w:rsid w:val="00882CB2"/>
    <w:rsid w:val="008849DE"/>
    <w:rsid w:val="00886757"/>
    <w:rsid w:val="00886CB3"/>
    <w:rsid w:val="00886D60"/>
    <w:rsid w:val="00891AA2"/>
    <w:rsid w:val="008923D2"/>
    <w:rsid w:val="008A23EF"/>
    <w:rsid w:val="008A5EFF"/>
    <w:rsid w:val="008B3A50"/>
    <w:rsid w:val="008B5681"/>
    <w:rsid w:val="008B5DAB"/>
    <w:rsid w:val="008B6997"/>
    <w:rsid w:val="008C3C33"/>
    <w:rsid w:val="008C3C49"/>
    <w:rsid w:val="008C5397"/>
    <w:rsid w:val="008C53AD"/>
    <w:rsid w:val="008C6BF4"/>
    <w:rsid w:val="008C6EDB"/>
    <w:rsid w:val="008C74E1"/>
    <w:rsid w:val="008D28CC"/>
    <w:rsid w:val="008E1C31"/>
    <w:rsid w:val="008E1DF2"/>
    <w:rsid w:val="008E24C2"/>
    <w:rsid w:val="008F10B9"/>
    <w:rsid w:val="008F22AE"/>
    <w:rsid w:val="008F4D4C"/>
    <w:rsid w:val="008F5D12"/>
    <w:rsid w:val="00904E67"/>
    <w:rsid w:val="00906F1A"/>
    <w:rsid w:val="00907696"/>
    <w:rsid w:val="00907AA3"/>
    <w:rsid w:val="00916EE3"/>
    <w:rsid w:val="0092130F"/>
    <w:rsid w:val="009249FF"/>
    <w:rsid w:val="00924E0F"/>
    <w:rsid w:val="009254DD"/>
    <w:rsid w:val="00926D37"/>
    <w:rsid w:val="00931F1E"/>
    <w:rsid w:val="00933E00"/>
    <w:rsid w:val="00934C0E"/>
    <w:rsid w:val="00936AD7"/>
    <w:rsid w:val="0094263A"/>
    <w:rsid w:val="0094316A"/>
    <w:rsid w:val="0094519C"/>
    <w:rsid w:val="0094526D"/>
    <w:rsid w:val="00946567"/>
    <w:rsid w:val="00947CB4"/>
    <w:rsid w:val="00950FAE"/>
    <w:rsid w:val="00950FDA"/>
    <w:rsid w:val="009511FC"/>
    <w:rsid w:val="009513ED"/>
    <w:rsid w:val="00951F63"/>
    <w:rsid w:val="009523A2"/>
    <w:rsid w:val="0095310A"/>
    <w:rsid w:val="00953AC8"/>
    <w:rsid w:val="00960AD4"/>
    <w:rsid w:val="00961A1F"/>
    <w:rsid w:val="009629CB"/>
    <w:rsid w:val="00963C99"/>
    <w:rsid w:val="00964623"/>
    <w:rsid w:val="00967566"/>
    <w:rsid w:val="00970564"/>
    <w:rsid w:val="00971431"/>
    <w:rsid w:val="00971B3E"/>
    <w:rsid w:val="009753DD"/>
    <w:rsid w:val="0097546B"/>
    <w:rsid w:val="009770D5"/>
    <w:rsid w:val="00980200"/>
    <w:rsid w:val="00981C46"/>
    <w:rsid w:val="00982D3E"/>
    <w:rsid w:val="00984245"/>
    <w:rsid w:val="00984934"/>
    <w:rsid w:val="009922CE"/>
    <w:rsid w:val="009959AB"/>
    <w:rsid w:val="00997615"/>
    <w:rsid w:val="009A3ECD"/>
    <w:rsid w:val="009A4EF7"/>
    <w:rsid w:val="009A78DF"/>
    <w:rsid w:val="009B2164"/>
    <w:rsid w:val="009B35E0"/>
    <w:rsid w:val="009B4D2E"/>
    <w:rsid w:val="009B5E4B"/>
    <w:rsid w:val="009B797A"/>
    <w:rsid w:val="009C21F5"/>
    <w:rsid w:val="009C740B"/>
    <w:rsid w:val="009D0546"/>
    <w:rsid w:val="009D08F6"/>
    <w:rsid w:val="009D170D"/>
    <w:rsid w:val="009D4C6F"/>
    <w:rsid w:val="009D6C03"/>
    <w:rsid w:val="009E01EE"/>
    <w:rsid w:val="009E0CEE"/>
    <w:rsid w:val="009E47A5"/>
    <w:rsid w:val="009E4AB3"/>
    <w:rsid w:val="009E65F1"/>
    <w:rsid w:val="009F0484"/>
    <w:rsid w:val="009F2702"/>
    <w:rsid w:val="009F29CB"/>
    <w:rsid w:val="009F43DE"/>
    <w:rsid w:val="00A036AB"/>
    <w:rsid w:val="00A03B3C"/>
    <w:rsid w:val="00A06AE8"/>
    <w:rsid w:val="00A0706E"/>
    <w:rsid w:val="00A10001"/>
    <w:rsid w:val="00A1156F"/>
    <w:rsid w:val="00A12E77"/>
    <w:rsid w:val="00A14546"/>
    <w:rsid w:val="00A14C27"/>
    <w:rsid w:val="00A1687A"/>
    <w:rsid w:val="00A16A65"/>
    <w:rsid w:val="00A2244B"/>
    <w:rsid w:val="00A22BE0"/>
    <w:rsid w:val="00A255B1"/>
    <w:rsid w:val="00A316C3"/>
    <w:rsid w:val="00A34050"/>
    <w:rsid w:val="00A3421A"/>
    <w:rsid w:val="00A41227"/>
    <w:rsid w:val="00A44550"/>
    <w:rsid w:val="00A513FC"/>
    <w:rsid w:val="00A51C2C"/>
    <w:rsid w:val="00A533DD"/>
    <w:rsid w:val="00A54926"/>
    <w:rsid w:val="00A666B1"/>
    <w:rsid w:val="00A66A14"/>
    <w:rsid w:val="00A7068F"/>
    <w:rsid w:val="00A72CA2"/>
    <w:rsid w:val="00A733BC"/>
    <w:rsid w:val="00A770B5"/>
    <w:rsid w:val="00A81D7E"/>
    <w:rsid w:val="00A84B68"/>
    <w:rsid w:val="00A851F7"/>
    <w:rsid w:val="00A86031"/>
    <w:rsid w:val="00A910E1"/>
    <w:rsid w:val="00A92659"/>
    <w:rsid w:val="00A94E7D"/>
    <w:rsid w:val="00A95280"/>
    <w:rsid w:val="00A95D2C"/>
    <w:rsid w:val="00A978BA"/>
    <w:rsid w:val="00AA339E"/>
    <w:rsid w:val="00AA4445"/>
    <w:rsid w:val="00AA537C"/>
    <w:rsid w:val="00AA6A37"/>
    <w:rsid w:val="00AB0C7A"/>
    <w:rsid w:val="00AB4384"/>
    <w:rsid w:val="00AB65D2"/>
    <w:rsid w:val="00AB7B2D"/>
    <w:rsid w:val="00AC0B6C"/>
    <w:rsid w:val="00AC2C1A"/>
    <w:rsid w:val="00AC2EA0"/>
    <w:rsid w:val="00AC3696"/>
    <w:rsid w:val="00AC5ACB"/>
    <w:rsid w:val="00AD5230"/>
    <w:rsid w:val="00AD6847"/>
    <w:rsid w:val="00AE1EDA"/>
    <w:rsid w:val="00AF3C98"/>
    <w:rsid w:val="00AF430A"/>
    <w:rsid w:val="00AF6F65"/>
    <w:rsid w:val="00B00A3E"/>
    <w:rsid w:val="00B00FE7"/>
    <w:rsid w:val="00B01022"/>
    <w:rsid w:val="00B02368"/>
    <w:rsid w:val="00B03B6D"/>
    <w:rsid w:val="00B06405"/>
    <w:rsid w:val="00B10A31"/>
    <w:rsid w:val="00B1365B"/>
    <w:rsid w:val="00B13913"/>
    <w:rsid w:val="00B14434"/>
    <w:rsid w:val="00B15474"/>
    <w:rsid w:val="00B156F3"/>
    <w:rsid w:val="00B15C8F"/>
    <w:rsid w:val="00B23CFB"/>
    <w:rsid w:val="00B26E4C"/>
    <w:rsid w:val="00B3004A"/>
    <w:rsid w:val="00B32C9E"/>
    <w:rsid w:val="00B342E4"/>
    <w:rsid w:val="00B348BF"/>
    <w:rsid w:val="00B357FD"/>
    <w:rsid w:val="00B41EA0"/>
    <w:rsid w:val="00B44E90"/>
    <w:rsid w:val="00B4761E"/>
    <w:rsid w:val="00B5068E"/>
    <w:rsid w:val="00B52CC1"/>
    <w:rsid w:val="00B54789"/>
    <w:rsid w:val="00B63370"/>
    <w:rsid w:val="00B75B58"/>
    <w:rsid w:val="00B77B59"/>
    <w:rsid w:val="00B80665"/>
    <w:rsid w:val="00B81F65"/>
    <w:rsid w:val="00B8235C"/>
    <w:rsid w:val="00B83BD1"/>
    <w:rsid w:val="00B86FC0"/>
    <w:rsid w:val="00B91DFF"/>
    <w:rsid w:val="00B92052"/>
    <w:rsid w:val="00B927DD"/>
    <w:rsid w:val="00B947FF"/>
    <w:rsid w:val="00BA1F0C"/>
    <w:rsid w:val="00BA2201"/>
    <w:rsid w:val="00BA5C39"/>
    <w:rsid w:val="00BA71CC"/>
    <w:rsid w:val="00BB22E1"/>
    <w:rsid w:val="00BB29E7"/>
    <w:rsid w:val="00BB3B8E"/>
    <w:rsid w:val="00BB40F5"/>
    <w:rsid w:val="00BB423A"/>
    <w:rsid w:val="00BB47C5"/>
    <w:rsid w:val="00BB4BFD"/>
    <w:rsid w:val="00BB794E"/>
    <w:rsid w:val="00BB7A2F"/>
    <w:rsid w:val="00BC04C7"/>
    <w:rsid w:val="00BC0CFA"/>
    <w:rsid w:val="00BC3D19"/>
    <w:rsid w:val="00BC5705"/>
    <w:rsid w:val="00BC7CED"/>
    <w:rsid w:val="00BC7D96"/>
    <w:rsid w:val="00BD0EA8"/>
    <w:rsid w:val="00BD44DE"/>
    <w:rsid w:val="00BD50C5"/>
    <w:rsid w:val="00BE159A"/>
    <w:rsid w:val="00BE19DB"/>
    <w:rsid w:val="00BE5D8B"/>
    <w:rsid w:val="00C01BFE"/>
    <w:rsid w:val="00C0343B"/>
    <w:rsid w:val="00C043A4"/>
    <w:rsid w:val="00C07C55"/>
    <w:rsid w:val="00C12A06"/>
    <w:rsid w:val="00C16362"/>
    <w:rsid w:val="00C16754"/>
    <w:rsid w:val="00C230AD"/>
    <w:rsid w:val="00C33CFE"/>
    <w:rsid w:val="00C348AA"/>
    <w:rsid w:val="00C34BE0"/>
    <w:rsid w:val="00C35845"/>
    <w:rsid w:val="00C411DC"/>
    <w:rsid w:val="00C43E41"/>
    <w:rsid w:val="00C440F3"/>
    <w:rsid w:val="00C447D6"/>
    <w:rsid w:val="00C45446"/>
    <w:rsid w:val="00C50CFE"/>
    <w:rsid w:val="00C536CC"/>
    <w:rsid w:val="00C54EE4"/>
    <w:rsid w:val="00C55712"/>
    <w:rsid w:val="00C57B71"/>
    <w:rsid w:val="00C61AE3"/>
    <w:rsid w:val="00C62774"/>
    <w:rsid w:val="00C62FFB"/>
    <w:rsid w:val="00C639EC"/>
    <w:rsid w:val="00C6637C"/>
    <w:rsid w:val="00C715F7"/>
    <w:rsid w:val="00C71D0E"/>
    <w:rsid w:val="00C72E9A"/>
    <w:rsid w:val="00C7341B"/>
    <w:rsid w:val="00C7683F"/>
    <w:rsid w:val="00C80B7E"/>
    <w:rsid w:val="00C851DF"/>
    <w:rsid w:val="00C85BDD"/>
    <w:rsid w:val="00C93A87"/>
    <w:rsid w:val="00C94FB0"/>
    <w:rsid w:val="00C97D02"/>
    <w:rsid w:val="00CA45CB"/>
    <w:rsid w:val="00CB08B8"/>
    <w:rsid w:val="00CC150A"/>
    <w:rsid w:val="00CC461D"/>
    <w:rsid w:val="00CC57B1"/>
    <w:rsid w:val="00CC5A1B"/>
    <w:rsid w:val="00CD17AD"/>
    <w:rsid w:val="00CD5A71"/>
    <w:rsid w:val="00CD6166"/>
    <w:rsid w:val="00CD6D8C"/>
    <w:rsid w:val="00CD7EC5"/>
    <w:rsid w:val="00CE13D1"/>
    <w:rsid w:val="00CE636B"/>
    <w:rsid w:val="00CF0D34"/>
    <w:rsid w:val="00CF13CE"/>
    <w:rsid w:val="00CF2888"/>
    <w:rsid w:val="00CF301D"/>
    <w:rsid w:val="00CF37D0"/>
    <w:rsid w:val="00CF4A6C"/>
    <w:rsid w:val="00CF5500"/>
    <w:rsid w:val="00CF63D3"/>
    <w:rsid w:val="00CF6AFB"/>
    <w:rsid w:val="00CF74ED"/>
    <w:rsid w:val="00D0116B"/>
    <w:rsid w:val="00D016D0"/>
    <w:rsid w:val="00D01BC7"/>
    <w:rsid w:val="00D060CB"/>
    <w:rsid w:val="00D07AF5"/>
    <w:rsid w:val="00D107AF"/>
    <w:rsid w:val="00D109FA"/>
    <w:rsid w:val="00D11178"/>
    <w:rsid w:val="00D11DE7"/>
    <w:rsid w:val="00D1360F"/>
    <w:rsid w:val="00D136E7"/>
    <w:rsid w:val="00D14E73"/>
    <w:rsid w:val="00D15079"/>
    <w:rsid w:val="00D166D2"/>
    <w:rsid w:val="00D207E8"/>
    <w:rsid w:val="00D20B33"/>
    <w:rsid w:val="00D20F31"/>
    <w:rsid w:val="00D210B6"/>
    <w:rsid w:val="00D21C30"/>
    <w:rsid w:val="00D242C1"/>
    <w:rsid w:val="00D279C8"/>
    <w:rsid w:val="00D3691A"/>
    <w:rsid w:val="00D37063"/>
    <w:rsid w:val="00D37341"/>
    <w:rsid w:val="00D50E68"/>
    <w:rsid w:val="00D671B0"/>
    <w:rsid w:val="00D7130B"/>
    <w:rsid w:val="00D7242A"/>
    <w:rsid w:val="00D767C4"/>
    <w:rsid w:val="00D77F92"/>
    <w:rsid w:val="00D81E0F"/>
    <w:rsid w:val="00D83DE9"/>
    <w:rsid w:val="00D84486"/>
    <w:rsid w:val="00D85C4F"/>
    <w:rsid w:val="00D86498"/>
    <w:rsid w:val="00D870FF"/>
    <w:rsid w:val="00D87825"/>
    <w:rsid w:val="00D90069"/>
    <w:rsid w:val="00D902CD"/>
    <w:rsid w:val="00D91EDD"/>
    <w:rsid w:val="00D925D9"/>
    <w:rsid w:val="00D93066"/>
    <w:rsid w:val="00D94E30"/>
    <w:rsid w:val="00D95E22"/>
    <w:rsid w:val="00D9672B"/>
    <w:rsid w:val="00DA0990"/>
    <w:rsid w:val="00DA2542"/>
    <w:rsid w:val="00DA43FC"/>
    <w:rsid w:val="00DA5ECA"/>
    <w:rsid w:val="00DA665E"/>
    <w:rsid w:val="00DA75B9"/>
    <w:rsid w:val="00DB23C3"/>
    <w:rsid w:val="00DB699C"/>
    <w:rsid w:val="00DC573C"/>
    <w:rsid w:val="00DD0132"/>
    <w:rsid w:val="00DD3750"/>
    <w:rsid w:val="00DD40EB"/>
    <w:rsid w:val="00DD5836"/>
    <w:rsid w:val="00DE3740"/>
    <w:rsid w:val="00DF3045"/>
    <w:rsid w:val="00DF5024"/>
    <w:rsid w:val="00DF7517"/>
    <w:rsid w:val="00E00C51"/>
    <w:rsid w:val="00E03076"/>
    <w:rsid w:val="00E04435"/>
    <w:rsid w:val="00E05893"/>
    <w:rsid w:val="00E05E48"/>
    <w:rsid w:val="00E079C4"/>
    <w:rsid w:val="00E07B1D"/>
    <w:rsid w:val="00E126E3"/>
    <w:rsid w:val="00E24B23"/>
    <w:rsid w:val="00E25D06"/>
    <w:rsid w:val="00E263D4"/>
    <w:rsid w:val="00E325AD"/>
    <w:rsid w:val="00E40526"/>
    <w:rsid w:val="00E42EED"/>
    <w:rsid w:val="00E4386A"/>
    <w:rsid w:val="00E441CF"/>
    <w:rsid w:val="00E44FD0"/>
    <w:rsid w:val="00E450F9"/>
    <w:rsid w:val="00E518F2"/>
    <w:rsid w:val="00E522F2"/>
    <w:rsid w:val="00E53EDA"/>
    <w:rsid w:val="00E55D64"/>
    <w:rsid w:val="00E603DD"/>
    <w:rsid w:val="00E632FC"/>
    <w:rsid w:val="00E63E33"/>
    <w:rsid w:val="00E66777"/>
    <w:rsid w:val="00E67D90"/>
    <w:rsid w:val="00E742E4"/>
    <w:rsid w:val="00E75F27"/>
    <w:rsid w:val="00E802F1"/>
    <w:rsid w:val="00E80942"/>
    <w:rsid w:val="00E80D96"/>
    <w:rsid w:val="00E80DC9"/>
    <w:rsid w:val="00E91FAF"/>
    <w:rsid w:val="00E92E43"/>
    <w:rsid w:val="00E943C3"/>
    <w:rsid w:val="00EA0344"/>
    <w:rsid w:val="00EA2480"/>
    <w:rsid w:val="00EA2903"/>
    <w:rsid w:val="00EA3646"/>
    <w:rsid w:val="00EA755D"/>
    <w:rsid w:val="00EB4E54"/>
    <w:rsid w:val="00EC0A5F"/>
    <w:rsid w:val="00EC30F4"/>
    <w:rsid w:val="00EC4A18"/>
    <w:rsid w:val="00EC5BBF"/>
    <w:rsid w:val="00ED161B"/>
    <w:rsid w:val="00ED25B4"/>
    <w:rsid w:val="00ED38A7"/>
    <w:rsid w:val="00ED55E0"/>
    <w:rsid w:val="00EE28F3"/>
    <w:rsid w:val="00EF097F"/>
    <w:rsid w:val="00EF3349"/>
    <w:rsid w:val="00EF396E"/>
    <w:rsid w:val="00F017D7"/>
    <w:rsid w:val="00F0240E"/>
    <w:rsid w:val="00F04436"/>
    <w:rsid w:val="00F04EFC"/>
    <w:rsid w:val="00F05BEF"/>
    <w:rsid w:val="00F07A15"/>
    <w:rsid w:val="00F07B15"/>
    <w:rsid w:val="00F100B4"/>
    <w:rsid w:val="00F1174D"/>
    <w:rsid w:val="00F1354D"/>
    <w:rsid w:val="00F13A4D"/>
    <w:rsid w:val="00F14662"/>
    <w:rsid w:val="00F170EC"/>
    <w:rsid w:val="00F2141D"/>
    <w:rsid w:val="00F220B5"/>
    <w:rsid w:val="00F262D9"/>
    <w:rsid w:val="00F3003B"/>
    <w:rsid w:val="00F323EF"/>
    <w:rsid w:val="00F325AA"/>
    <w:rsid w:val="00F33612"/>
    <w:rsid w:val="00F35360"/>
    <w:rsid w:val="00F36E26"/>
    <w:rsid w:val="00F42348"/>
    <w:rsid w:val="00F43B6A"/>
    <w:rsid w:val="00F460A7"/>
    <w:rsid w:val="00F47218"/>
    <w:rsid w:val="00F47FC8"/>
    <w:rsid w:val="00F54E6B"/>
    <w:rsid w:val="00F55180"/>
    <w:rsid w:val="00F565A9"/>
    <w:rsid w:val="00F60DB8"/>
    <w:rsid w:val="00F6715F"/>
    <w:rsid w:val="00F70267"/>
    <w:rsid w:val="00F70BA0"/>
    <w:rsid w:val="00F75594"/>
    <w:rsid w:val="00F75C7A"/>
    <w:rsid w:val="00F8095C"/>
    <w:rsid w:val="00F81962"/>
    <w:rsid w:val="00F824A4"/>
    <w:rsid w:val="00F958C7"/>
    <w:rsid w:val="00F97A02"/>
    <w:rsid w:val="00FA0903"/>
    <w:rsid w:val="00FA277C"/>
    <w:rsid w:val="00FA2B8B"/>
    <w:rsid w:val="00FA5009"/>
    <w:rsid w:val="00FB12AF"/>
    <w:rsid w:val="00FB4A36"/>
    <w:rsid w:val="00FC2F7F"/>
    <w:rsid w:val="00FC7210"/>
    <w:rsid w:val="00FD48C2"/>
    <w:rsid w:val="00FD4E07"/>
    <w:rsid w:val="00FD5D2A"/>
    <w:rsid w:val="00FD5E39"/>
    <w:rsid w:val="00FD7477"/>
    <w:rsid w:val="00FD7BD8"/>
    <w:rsid w:val="00FF160B"/>
    <w:rsid w:val="00FF1D9B"/>
    <w:rsid w:val="00FF2599"/>
    <w:rsid w:val="00FF4A2C"/>
    <w:rsid w:val="00FF5C28"/>
    <w:rsid w:val="01574756"/>
    <w:rsid w:val="016D3F23"/>
    <w:rsid w:val="01B94601"/>
    <w:rsid w:val="01BB2FFE"/>
    <w:rsid w:val="03D1264A"/>
    <w:rsid w:val="04104950"/>
    <w:rsid w:val="041551F9"/>
    <w:rsid w:val="04B41E9F"/>
    <w:rsid w:val="04C77A47"/>
    <w:rsid w:val="0503434E"/>
    <w:rsid w:val="05414E7A"/>
    <w:rsid w:val="05E00BE8"/>
    <w:rsid w:val="068563FF"/>
    <w:rsid w:val="069D153A"/>
    <w:rsid w:val="06C363BD"/>
    <w:rsid w:val="06F20853"/>
    <w:rsid w:val="07B06BA2"/>
    <w:rsid w:val="07CD2501"/>
    <w:rsid w:val="07E86EA8"/>
    <w:rsid w:val="0823743E"/>
    <w:rsid w:val="08A54912"/>
    <w:rsid w:val="08C8700C"/>
    <w:rsid w:val="09464EA4"/>
    <w:rsid w:val="09CC117E"/>
    <w:rsid w:val="09FC09DC"/>
    <w:rsid w:val="0A26605A"/>
    <w:rsid w:val="0A5E0FEF"/>
    <w:rsid w:val="0AAA3D95"/>
    <w:rsid w:val="0B035CD3"/>
    <w:rsid w:val="0B310862"/>
    <w:rsid w:val="0B735964"/>
    <w:rsid w:val="0BEC7CA8"/>
    <w:rsid w:val="0C290FD4"/>
    <w:rsid w:val="0C4E2EDE"/>
    <w:rsid w:val="0C6A5662"/>
    <w:rsid w:val="0D6D4076"/>
    <w:rsid w:val="0DC63648"/>
    <w:rsid w:val="0DEC46E1"/>
    <w:rsid w:val="0E3604A3"/>
    <w:rsid w:val="0EA26C75"/>
    <w:rsid w:val="0EBA4947"/>
    <w:rsid w:val="0EEE58DE"/>
    <w:rsid w:val="0F2D1AF6"/>
    <w:rsid w:val="0F7C1CAF"/>
    <w:rsid w:val="0FE16042"/>
    <w:rsid w:val="100418FA"/>
    <w:rsid w:val="109575AF"/>
    <w:rsid w:val="10A25F15"/>
    <w:rsid w:val="10B10C96"/>
    <w:rsid w:val="117157E7"/>
    <w:rsid w:val="118A286B"/>
    <w:rsid w:val="12001659"/>
    <w:rsid w:val="12BA2D35"/>
    <w:rsid w:val="12E563FE"/>
    <w:rsid w:val="139224A7"/>
    <w:rsid w:val="1430364A"/>
    <w:rsid w:val="15244BCA"/>
    <w:rsid w:val="15A55568"/>
    <w:rsid w:val="160C34D7"/>
    <w:rsid w:val="164048A1"/>
    <w:rsid w:val="16690E12"/>
    <w:rsid w:val="169A4442"/>
    <w:rsid w:val="16A77466"/>
    <w:rsid w:val="16BA0F3C"/>
    <w:rsid w:val="16E86D5D"/>
    <w:rsid w:val="16FC4285"/>
    <w:rsid w:val="173D274A"/>
    <w:rsid w:val="177B454E"/>
    <w:rsid w:val="17DF5065"/>
    <w:rsid w:val="18511F2B"/>
    <w:rsid w:val="186F082A"/>
    <w:rsid w:val="191A7579"/>
    <w:rsid w:val="192A3E11"/>
    <w:rsid w:val="195E48A3"/>
    <w:rsid w:val="19A3484B"/>
    <w:rsid w:val="1A991EB8"/>
    <w:rsid w:val="1AAA01FE"/>
    <w:rsid w:val="1AB254F9"/>
    <w:rsid w:val="1AD0110D"/>
    <w:rsid w:val="1AD118B9"/>
    <w:rsid w:val="1B2E77FC"/>
    <w:rsid w:val="1B3A54E0"/>
    <w:rsid w:val="1B3C58B3"/>
    <w:rsid w:val="1C0A3246"/>
    <w:rsid w:val="1CE865D0"/>
    <w:rsid w:val="1D31177C"/>
    <w:rsid w:val="1D5C2020"/>
    <w:rsid w:val="1D9A45AC"/>
    <w:rsid w:val="1DE1256D"/>
    <w:rsid w:val="1E1F405B"/>
    <w:rsid w:val="1E9C1D13"/>
    <w:rsid w:val="1ECD3EF0"/>
    <w:rsid w:val="1EF41954"/>
    <w:rsid w:val="1F763F2A"/>
    <w:rsid w:val="1FD20629"/>
    <w:rsid w:val="1FD6339B"/>
    <w:rsid w:val="1FD84AF8"/>
    <w:rsid w:val="1FF67686"/>
    <w:rsid w:val="201B2278"/>
    <w:rsid w:val="202E066C"/>
    <w:rsid w:val="20BF770F"/>
    <w:rsid w:val="20DE1067"/>
    <w:rsid w:val="20FF4D86"/>
    <w:rsid w:val="216B33A5"/>
    <w:rsid w:val="219F289F"/>
    <w:rsid w:val="21DA3D85"/>
    <w:rsid w:val="227434D8"/>
    <w:rsid w:val="229D24A6"/>
    <w:rsid w:val="233D7D67"/>
    <w:rsid w:val="235B02CD"/>
    <w:rsid w:val="23717B0F"/>
    <w:rsid w:val="23F2445F"/>
    <w:rsid w:val="24432B63"/>
    <w:rsid w:val="24774CBC"/>
    <w:rsid w:val="2477701C"/>
    <w:rsid w:val="24861743"/>
    <w:rsid w:val="24C84C23"/>
    <w:rsid w:val="24CE7D9E"/>
    <w:rsid w:val="25011625"/>
    <w:rsid w:val="259C627E"/>
    <w:rsid w:val="271939E1"/>
    <w:rsid w:val="27AD58BF"/>
    <w:rsid w:val="27B261FE"/>
    <w:rsid w:val="27B366D6"/>
    <w:rsid w:val="27C92D33"/>
    <w:rsid w:val="28090723"/>
    <w:rsid w:val="28190A55"/>
    <w:rsid w:val="2819213A"/>
    <w:rsid w:val="28400C8C"/>
    <w:rsid w:val="286825B1"/>
    <w:rsid w:val="288130A8"/>
    <w:rsid w:val="2882432F"/>
    <w:rsid w:val="28A42FC4"/>
    <w:rsid w:val="29032AEF"/>
    <w:rsid w:val="292A0104"/>
    <w:rsid w:val="29AB278B"/>
    <w:rsid w:val="29BE0668"/>
    <w:rsid w:val="2AFA2584"/>
    <w:rsid w:val="2B1D4756"/>
    <w:rsid w:val="2B2157CF"/>
    <w:rsid w:val="2B3D7B09"/>
    <w:rsid w:val="2BBD79D0"/>
    <w:rsid w:val="2C347905"/>
    <w:rsid w:val="2C8C7675"/>
    <w:rsid w:val="2C9E1BD6"/>
    <w:rsid w:val="2CBA6D0F"/>
    <w:rsid w:val="2D2011EA"/>
    <w:rsid w:val="2D7F431B"/>
    <w:rsid w:val="2E103FDD"/>
    <w:rsid w:val="2E2574F5"/>
    <w:rsid w:val="2E706AA6"/>
    <w:rsid w:val="2E7B3B9C"/>
    <w:rsid w:val="2EBF04D7"/>
    <w:rsid w:val="2EF70B6E"/>
    <w:rsid w:val="2F1612DF"/>
    <w:rsid w:val="2F26744B"/>
    <w:rsid w:val="2F8129C8"/>
    <w:rsid w:val="2F853244"/>
    <w:rsid w:val="2F926283"/>
    <w:rsid w:val="2FE106C5"/>
    <w:rsid w:val="304F147C"/>
    <w:rsid w:val="30A855E9"/>
    <w:rsid w:val="316119CD"/>
    <w:rsid w:val="319A71B2"/>
    <w:rsid w:val="31DA0F3B"/>
    <w:rsid w:val="323C759D"/>
    <w:rsid w:val="326D1323"/>
    <w:rsid w:val="326D23F0"/>
    <w:rsid w:val="32A26C27"/>
    <w:rsid w:val="32B12CF3"/>
    <w:rsid w:val="32B2401B"/>
    <w:rsid w:val="32D833C5"/>
    <w:rsid w:val="33125ED4"/>
    <w:rsid w:val="33936F97"/>
    <w:rsid w:val="33C033BB"/>
    <w:rsid w:val="348C0734"/>
    <w:rsid w:val="34EC2016"/>
    <w:rsid w:val="350A1D40"/>
    <w:rsid w:val="358B4D13"/>
    <w:rsid w:val="35A00031"/>
    <w:rsid w:val="35AF7E88"/>
    <w:rsid w:val="36AB4220"/>
    <w:rsid w:val="36B34C71"/>
    <w:rsid w:val="36B96878"/>
    <w:rsid w:val="36BA3031"/>
    <w:rsid w:val="378562D8"/>
    <w:rsid w:val="38855357"/>
    <w:rsid w:val="393903AE"/>
    <w:rsid w:val="39573273"/>
    <w:rsid w:val="39A36527"/>
    <w:rsid w:val="3B066033"/>
    <w:rsid w:val="3B6F0965"/>
    <w:rsid w:val="3C272E57"/>
    <w:rsid w:val="3C4426CC"/>
    <w:rsid w:val="3CAE35EE"/>
    <w:rsid w:val="3CCA6B36"/>
    <w:rsid w:val="3D343687"/>
    <w:rsid w:val="3D837680"/>
    <w:rsid w:val="3DA16755"/>
    <w:rsid w:val="3DE96EE1"/>
    <w:rsid w:val="3F55753A"/>
    <w:rsid w:val="3F9E194A"/>
    <w:rsid w:val="3FF72F73"/>
    <w:rsid w:val="40B05E84"/>
    <w:rsid w:val="417C15A4"/>
    <w:rsid w:val="41A55273"/>
    <w:rsid w:val="42070D36"/>
    <w:rsid w:val="42137B36"/>
    <w:rsid w:val="421B2FF0"/>
    <w:rsid w:val="42980A4B"/>
    <w:rsid w:val="43D30ECA"/>
    <w:rsid w:val="446413C5"/>
    <w:rsid w:val="449029AF"/>
    <w:rsid w:val="44EF73A7"/>
    <w:rsid w:val="459E5C8E"/>
    <w:rsid w:val="45D479AC"/>
    <w:rsid w:val="45D94515"/>
    <w:rsid w:val="45F00EA7"/>
    <w:rsid w:val="46703E6B"/>
    <w:rsid w:val="46CC42F1"/>
    <w:rsid w:val="47503AD6"/>
    <w:rsid w:val="47DC0A3D"/>
    <w:rsid w:val="480C14C1"/>
    <w:rsid w:val="482146D6"/>
    <w:rsid w:val="48DB63D8"/>
    <w:rsid w:val="49C2447E"/>
    <w:rsid w:val="49DB0CF2"/>
    <w:rsid w:val="49F63E5E"/>
    <w:rsid w:val="4A0B0B6D"/>
    <w:rsid w:val="4A4F1D96"/>
    <w:rsid w:val="4A6C1DDC"/>
    <w:rsid w:val="4A930494"/>
    <w:rsid w:val="4AE328AF"/>
    <w:rsid w:val="4B277320"/>
    <w:rsid w:val="4B650B47"/>
    <w:rsid w:val="4C0609CE"/>
    <w:rsid w:val="4C6A7BB7"/>
    <w:rsid w:val="4CAA24B0"/>
    <w:rsid w:val="4DA17C4A"/>
    <w:rsid w:val="4DAC7A62"/>
    <w:rsid w:val="4DC238D5"/>
    <w:rsid w:val="4DE953C1"/>
    <w:rsid w:val="4EBD2A01"/>
    <w:rsid w:val="4ECA2204"/>
    <w:rsid w:val="4ED155D3"/>
    <w:rsid w:val="4F0D51C4"/>
    <w:rsid w:val="4FA57218"/>
    <w:rsid w:val="4FD55567"/>
    <w:rsid w:val="5025080B"/>
    <w:rsid w:val="511C770F"/>
    <w:rsid w:val="513D3EED"/>
    <w:rsid w:val="51961500"/>
    <w:rsid w:val="51F52662"/>
    <w:rsid w:val="523E341C"/>
    <w:rsid w:val="52973EA9"/>
    <w:rsid w:val="52F208FB"/>
    <w:rsid w:val="53593011"/>
    <w:rsid w:val="535975AA"/>
    <w:rsid w:val="53B73DB0"/>
    <w:rsid w:val="53EF1439"/>
    <w:rsid w:val="54C02068"/>
    <w:rsid w:val="54CA1FB5"/>
    <w:rsid w:val="552948CB"/>
    <w:rsid w:val="55335FD2"/>
    <w:rsid w:val="558A5303"/>
    <w:rsid w:val="55FF438B"/>
    <w:rsid w:val="562C7DC9"/>
    <w:rsid w:val="56455B22"/>
    <w:rsid w:val="56773204"/>
    <w:rsid w:val="56C153B7"/>
    <w:rsid w:val="58A05371"/>
    <w:rsid w:val="58B01F9A"/>
    <w:rsid w:val="58BE75D3"/>
    <w:rsid w:val="58C23F1A"/>
    <w:rsid w:val="58F613D1"/>
    <w:rsid w:val="59965073"/>
    <w:rsid w:val="5A1572EA"/>
    <w:rsid w:val="5A891115"/>
    <w:rsid w:val="5AF47206"/>
    <w:rsid w:val="5B386065"/>
    <w:rsid w:val="5BBC1B3A"/>
    <w:rsid w:val="5BC90498"/>
    <w:rsid w:val="5BCA7972"/>
    <w:rsid w:val="5C377FEE"/>
    <w:rsid w:val="5C467576"/>
    <w:rsid w:val="5CAC718A"/>
    <w:rsid w:val="5CC56ED6"/>
    <w:rsid w:val="5CCB5CB8"/>
    <w:rsid w:val="5D1F4496"/>
    <w:rsid w:val="5D337E68"/>
    <w:rsid w:val="5DED15CA"/>
    <w:rsid w:val="5F0475F9"/>
    <w:rsid w:val="5F5F2560"/>
    <w:rsid w:val="5F6461AB"/>
    <w:rsid w:val="5F774B9D"/>
    <w:rsid w:val="5FC41E78"/>
    <w:rsid w:val="600F3F91"/>
    <w:rsid w:val="60115E60"/>
    <w:rsid w:val="60AD595F"/>
    <w:rsid w:val="61540AD0"/>
    <w:rsid w:val="616B39D6"/>
    <w:rsid w:val="61876305"/>
    <w:rsid w:val="61BB0599"/>
    <w:rsid w:val="61CC05BA"/>
    <w:rsid w:val="61DE3117"/>
    <w:rsid w:val="61E55358"/>
    <w:rsid w:val="61F80E9F"/>
    <w:rsid w:val="621E29E0"/>
    <w:rsid w:val="62F612F4"/>
    <w:rsid w:val="630D475D"/>
    <w:rsid w:val="63AB187B"/>
    <w:rsid w:val="65073E95"/>
    <w:rsid w:val="658845C1"/>
    <w:rsid w:val="65C262A2"/>
    <w:rsid w:val="6614447B"/>
    <w:rsid w:val="66D30508"/>
    <w:rsid w:val="670B5B8E"/>
    <w:rsid w:val="674E044F"/>
    <w:rsid w:val="67616BD8"/>
    <w:rsid w:val="681D5523"/>
    <w:rsid w:val="68CC047E"/>
    <w:rsid w:val="694E06DA"/>
    <w:rsid w:val="69CE40F0"/>
    <w:rsid w:val="6A017A59"/>
    <w:rsid w:val="6AC124E1"/>
    <w:rsid w:val="6B152608"/>
    <w:rsid w:val="6B4413FA"/>
    <w:rsid w:val="6B717934"/>
    <w:rsid w:val="6BD861E3"/>
    <w:rsid w:val="6C4815DC"/>
    <w:rsid w:val="6C773F16"/>
    <w:rsid w:val="6CD12BA4"/>
    <w:rsid w:val="6CFF2D32"/>
    <w:rsid w:val="6E4F1D68"/>
    <w:rsid w:val="6E9B6218"/>
    <w:rsid w:val="6EAA181A"/>
    <w:rsid w:val="6F7F3BE1"/>
    <w:rsid w:val="6F941BA9"/>
    <w:rsid w:val="6FD729AA"/>
    <w:rsid w:val="71936289"/>
    <w:rsid w:val="71AF2CED"/>
    <w:rsid w:val="71D14A96"/>
    <w:rsid w:val="71D811C0"/>
    <w:rsid w:val="72077AFF"/>
    <w:rsid w:val="72395AB9"/>
    <w:rsid w:val="72B26D67"/>
    <w:rsid w:val="72BD7A32"/>
    <w:rsid w:val="72C11515"/>
    <w:rsid w:val="72E06CBD"/>
    <w:rsid w:val="7334511E"/>
    <w:rsid w:val="73C148AF"/>
    <w:rsid w:val="741E3007"/>
    <w:rsid w:val="74250E9B"/>
    <w:rsid w:val="748662DC"/>
    <w:rsid w:val="74981F57"/>
    <w:rsid w:val="74A53EBC"/>
    <w:rsid w:val="74A87CBF"/>
    <w:rsid w:val="74FE030D"/>
    <w:rsid w:val="753F5F33"/>
    <w:rsid w:val="754A3B4F"/>
    <w:rsid w:val="755152F4"/>
    <w:rsid w:val="75C3336C"/>
    <w:rsid w:val="7612192C"/>
    <w:rsid w:val="765C6420"/>
    <w:rsid w:val="76B65FF3"/>
    <w:rsid w:val="772517AE"/>
    <w:rsid w:val="77311B17"/>
    <w:rsid w:val="777E080F"/>
    <w:rsid w:val="77A71B8B"/>
    <w:rsid w:val="77E35A5E"/>
    <w:rsid w:val="787F4CE0"/>
    <w:rsid w:val="793346C0"/>
    <w:rsid w:val="79522C7A"/>
    <w:rsid w:val="79734BF0"/>
    <w:rsid w:val="79A05F27"/>
    <w:rsid w:val="79A40099"/>
    <w:rsid w:val="79FF4C75"/>
    <w:rsid w:val="7A47787F"/>
    <w:rsid w:val="7AE66B7E"/>
    <w:rsid w:val="7B0C67F8"/>
    <w:rsid w:val="7B30229A"/>
    <w:rsid w:val="7BCB7390"/>
    <w:rsid w:val="7BCE328B"/>
    <w:rsid w:val="7C2A4146"/>
    <w:rsid w:val="7C57737B"/>
    <w:rsid w:val="7CB54F31"/>
    <w:rsid w:val="7D9307BF"/>
    <w:rsid w:val="7D96540C"/>
    <w:rsid w:val="7E8A668D"/>
    <w:rsid w:val="7E8A7362"/>
    <w:rsid w:val="7F0B7CEA"/>
    <w:rsid w:val="7FEC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18"/>
    <w:qFormat/>
    <w:uiPriority w:val="9"/>
    <w:pPr>
      <w:numPr>
        <w:ilvl w:val="0"/>
        <w:numId w:val="1"/>
      </w:numPr>
      <w:ind w:firstLineChars="0"/>
      <w:contextualSpacing/>
      <w:outlineLvl w:val="0"/>
    </w:pPr>
    <w:rPr>
      <w:rFonts w:ascii="宋体" w:hAnsi="宋体" w:cstheme="minorBidi"/>
      <w:b/>
      <w:smallCaps/>
      <w:spacing w:val="5"/>
      <w:sz w:val="32"/>
      <w:szCs w:val="32"/>
    </w:rPr>
  </w:style>
  <w:style w:type="paragraph" w:styleId="5">
    <w:name w:val="heading 2"/>
    <w:basedOn w:val="1"/>
    <w:next w:val="1"/>
    <w:link w:val="19"/>
    <w:unhideWhenUsed/>
    <w:qFormat/>
    <w:uiPriority w:val="9"/>
    <w:pPr>
      <w:numPr>
        <w:ilvl w:val="1"/>
        <w:numId w:val="1"/>
      </w:numPr>
      <w:ind w:firstLineChars="0"/>
      <w:outlineLvl w:val="1"/>
    </w:pPr>
    <w:rPr>
      <w:rFonts w:ascii="宋体" w:hAnsi="宋体" w:eastAsiaTheme="minorEastAsia" w:cstheme="minorBidi"/>
      <w:b/>
      <w:smallCaps/>
      <w:sz w:val="28"/>
    </w:rPr>
  </w:style>
  <w:style w:type="paragraph" w:styleId="6">
    <w:name w:val="heading 3"/>
    <w:basedOn w:val="1"/>
    <w:next w:val="1"/>
    <w:link w:val="20"/>
    <w:unhideWhenUsed/>
    <w:qFormat/>
    <w:uiPriority w:val="9"/>
    <w:pPr>
      <w:numPr>
        <w:ilvl w:val="2"/>
        <w:numId w:val="1"/>
      </w:numPr>
      <w:snapToGrid w:val="0"/>
      <w:spacing w:before="156" w:beforeLines="50"/>
      <w:ind w:firstLine="0" w:firstLineChars="0"/>
      <w:outlineLvl w:val="2"/>
    </w:pPr>
    <w:rPr>
      <w:rFonts w:ascii="宋体" w:hAnsi="宋体" w:cstheme="minorBidi"/>
      <w:b/>
      <w:iCs/>
      <w:smallCaps/>
      <w:spacing w:val="5"/>
    </w:rPr>
  </w:style>
  <w:style w:type="paragraph" w:styleId="7">
    <w:name w:val="heading 4"/>
    <w:basedOn w:val="1"/>
    <w:next w:val="1"/>
    <w:link w:val="21"/>
    <w:unhideWhenUsed/>
    <w:qFormat/>
    <w:uiPriority w:val="9"/>
    <w:pPr>
      <w:numPr>
        <w:ilvl w:val="3"/>
        <w:numId w:val="1"/>
      </w:numPr>
      <w:ind w:firstLine="0" w:firstLineChars="0"/>
      <w:outlineLvl w:val="3"/>
    </w:pPr>
    <w:rPr>
      <w:rFonts w:asciiTheme="minorHAnsi" w:hAnsiTheme="minorHAnsi" w:eastAsiaTheme="minorEastAsia" w:cstheme="minorBidi"/>
      <w:b/>
      <w:bCs/>
      <w:spacing w:val="5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23"/>
    <w:unhideWhenUsed/>
    <w:qFormat/>
    <w:uiPriority w:val="99"/>
    <w:pPr>
      <w:ind w:firstLine="420"/>
    </w:pPr>
  </w:style>
  <w:style w:type="paragraph" w:styleId="3">
    <w:name w:val="Body Text Indent"/>
    <w:basedOn w:val="1"/>
    <w:link w:val="22"/>
    <w:semiHidden/>
    <w:unhideWhenUsed/>
    <w:qFormat/>
    <w:uiPriority w:val="99"/>
    <w:pPr>
      <w:spacing w:after="120"/>
      <w:ind w:left="420" w:leftChars="200"/>
    </w:pPr>
  </w:style>
  <w:style w:type="paragraph" w:styleId="8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9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4"/>
    <w:link w:val="10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18">
    <w:name w:val="标题 1 字符"/>
    <w:basedOn w:val="14"/>
    <w:link w:val="4"/>
    <w:qFormat/>
    <w:uiPriority w:val="9"/>
    <w:rPr>
      <w:rFonts w:ascii="宋体" w:hAnsi="宋体" w:eastAsia="宋体"/>
      <w:b/>
      <w:smallCaps/>
      <w:spacing w:val="5"/>
      <w:sz w:val="32"/>
      <w:szCs w:val="32"/>
    </w:rPr>
  </w:style>
  <w:style w:type="character" w:customStyle="1" w:styleId="19">
    <w:name w:val="标题 2 字符"/>
    <w:basedOn w:val="14"/>
    <w:link w:val="5"/>
    <w:qFormat/>
    <w:uiPriority w:val="9"/>
    <w:rPr>
      <w:rFonts w:ascii="宋体" w:hAnsi="宋体"/>
      <w:b/>
      <w:smallCaps/>
      <w:sz w:val="28"/>
      <w:szCs w:val="24"/>
    </w:rPr>
  </w:style>
  <w:style w:type="character" w:customStyle="1" w:styleId="20">
    <w:name w:val="标题 3 字符"/>
    <w:basedOn w:val="14"/>
    <w:link w:val="6"/>
    <w:qFormat/>
    <w:uiPriority w:val="9"/>
    <w:rPr>
      <w:rFonts w:ascii="宋体" w:hAnsi="宋体" w:eastAsia="宋体"/>
      <w:b/>
      <w:iCs/>
      <w:smallCaps/>
      <w:spacing w:val="5"/>
      <w:sz w:val="24"/>
      <w:szCs w:val="24"/>
    </w:rPr>
  </w:style>
  <w:style w:type="character" w:customStyle="1" w:styleId="21">
    <w:name w:val="标题 4 字符"/>
    <w:basedOn w:val="14"/>
    <w:link w:val="7"/>
    <w:qFormat/>
    <w:uiPriority w:val="9"/>
    <w:rPr>
      <w:b/>
      <w:bCs/>
      <w:spacing w:val="5"/>
      <w:sz w:val="24"/>
      <w:szCs w:val="24"/>
    </w:rPr>
  </w:style>
  <w:style w:type="character" w:customStyle="1" w:styleId="22">
    <w:name w:val="正文文本缩进 字符"/>
    <w:basedOn w:val="14"/>
    <w:link w:val="3"/>
    <w:semiHidden/>
    <w:qFormat/>
    <w:uiPriority w:val="99"/>
    <w:rPr>
      <w:rFonts w:ascii="Calibri" w:hAnsi="Calibri" w:eastAsia="宋体" w:cs="Times New Roman"/>
      <w:sz w:val="24"/>
      <w:szCs w:val="24"/>
    </w:rPr>
  </w:style>
  <w:style w:type="character" w:customStyle="1" w:styleId="23">
    <w:name w:val="正文首行缩进 2 字符"/>
    <w:basedOn w:val="22"/>
    <w:link w:val="2"/>
    <w:qFormat/>
    <w:uiPriority w:val="99"/>
    <w:rPr>
      <w:rFonts w:ascii="Calibri" w:hAnsi="Calibri" w:eastAsia="宋体" w:cs="Times New Roman"/>
      <w:sz w:val="24"/>
      <w:szCs w:val="24"/>
    </w:rPr>
  </w:style>
  <w:style w:type="paragraph" w:customStyle="1" w:styleId="24">
    <w:name w:val="TOC 标题1"/>
    <w:basedOn w:val="4"/>
    <w:next w:val="1"/>
    <w:unhideWhenUsed/>
    <w:qFormat/>
    <w:uiPriority w:val="39"/>
    <w:pPr>
      <w:keepNext/>
      <w:keepLines/>
      <w:widowControl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hAnsiTheme="majorHAnsi" w:eastAsiaTheme="majorEastAsia" w:cstheme="majorBidi"/>
      <w:b w:val="0"/>
      <w:smallCaps w:val="0"/>
      <w:color w:val="2E75B6" w:themeColor="accent1" w:themeShade="BF"/>
      <w:spacing w:val="0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footer" Target="footer2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footer" Target="footer1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4" Type="http://schemas.openxmlformats.org/officeDocument/2006/relationships/fontTable" Target="fontTable.xml"/><Relationship Id="rId123" Type="http://schemas.openxmlformats.org/officeDocument/2006/relationships/customXml" Target="../customXml/item2.xml"/><Relationship Id="rId122" Type="http://schemas.openxmlformats.org/officeDocument/2006/relationships/numbering" Target="numbering.xml"/><Relationship Id="rId121" Type="http://schemas.openxmlformats.org/officeDocument/2006/relationships/customXml" Target="../customXml/item1.xml"/><Relationship Id="rId120" Type="http://schemas.openxmlformats.org/officeDocument/2006/relationships/image" Target="media/image109.png"/><Relationship Id="rId12" Type="http://schemas.openxmlformats.org/officeDocument/2006/relationships/image" Target="media/image1.png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theme" Target="theme/theme1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6ACD5C-B13E-4ADE-8F3A-AE377CA179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51</Pages>
  <Words>11731</Words>
  <Characters>11958</Characters>
  <Lines>83</Lines>
  <Paragraphs>23</Paragraphs>
  <TotalTime>204</TotalTime>
  <ScaleCrop>false</ScaleCrop>
  <LinksUpToDate>false</LinksUpToDate>
  <CharactersWithSpaces>12148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2020-06-10T02:39:00Z</dcterms:created>
  <dc:creator>chingo</dc:creator>
  <cp:lastModifiedBy>男二</cp:lastModifiedBy>
  <dcterms:modified xsi:type="dcterms:W3CDTF">2022-10-28T07:36:45Z</dcterms:modified>
  <cp:revision>1036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B554B873049E4DD9A1BD77D3EAA98755</vt:lpwstr>
  </property>
  <property fmtid="{D5CDD505-2E9C-101B-9397-08002B2CF9AE}" pid="4" name="commondata">
    <vt:lpwstr>eyJoZGlkIjoiODc1MzNhZmM4YzZlNWQ0OTk1NjliNGM5OTg3MDIxZTQifQ==</vt:lpwstr>
  </property>
</Properties>
</file>